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5096D4E7"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5F009C">
        <w:rPr>
          <w:b/>
          <w:sz w:val="24"/>
        </w:rPr>
        <w:t>4</w:t>
      </w:r>
      <w:r w:rsidRPr="00982A60">
        <w:rPr>
          <w:b/>
          <w:sz w:val="24"/>
        </w:rPr>
        <w:tab/>
      </w:r>
      <w:r w:rsidR="00D00984" w:rsidRPr="00D00984">
        <w:rPr>
          <w:b/>
          <w:sz w:val="24"/>
        </w:rPr>
        <w:t>R2-2312368</w:t>
      </w:r>
    </w:p>
    <w:p w14:paraId="7BE55ADA" w14:textId="304894E1" w:rsidR="00006A82" w:rsidRPr="00E30475" w:rsidRDefault="005F009C" w:rsidP="000A4B61">
      <w:pPr>
        <w:pStyle w:val="CRCoverPage"/>
        <w:tabs>
          <w:tab w:val="right" w:pos="9639"/>
        </w:tabs>
        <w:spacing w:after="0"/>
        <w:rPr>
          <w:rFonts w:eastAsia="宋体"/>
          <w:b/>
          <w:sz w:val="24"/>
        </w:rPr>
      </w:pPr>
      <w:r>
        <w:rPr>
          <w:b/>
          <w:sz w:val="24"/>
        </w:rPr>
        <w:t>Chicago</w:t>
      </w:r>
      <w:r w:rsidR="005B3FDE" w:rsidRPr="00E30475">
        <w:rPr>
          <w:b/>
          <w:sz w:val="24"/>
        </w:rPr>
        <w:t>,</w:t>
      </w:r>
      <w:r w:rsidR="00023152">
        <w:rPr>
          <w:b/>
          <w:sz w:val="24"/>
        </w:rPr>
        <w:t xml:space="preserve"> </w:t>
      </w:r>
      <w:r>
        <w:rPr>
          <w:b/>
          <w:sz w:val="24"/>
        </w:rPr>
        <w:t>USA</w:t>
      </w:r>
      <w:r w:rsidR="00023152">
        <w:rPr>
          <w:b/>
          <w:sz w:val="24"/>
        </w:rPr>
        <w:t xml:space="preserve">, </w:t>
      </w:r>
      <w:r>
        <w:rPr>
          <w:b/>
          <w:sz w:val="24"/>
        </w:rPr>
        <w:t>13</w:t>
      </w:r>
      <w:r w:rsidR="0099132B" w:rsidRPr="0099132B">
        <w:rPr>
          <w:b/>
          <w:sz w:val="24"/>
          <w:vertAlign w:val="superscript"/>
        </w:rPr>
        <w:t>th</w:t>
      </w:r>
      <w:r w:rsidR="0099132B">
        <w:rPr>
          <w:b/>
          <w:sz w:val="24"/>
        </w:rPr>
        <w:t xml:space="preserve"> –</w:t>
      </w:r>
      <w:r w:rsidR="00023152">
        <w:rPr>
          <w:b/>
          <w:sz w:val="24"/>
        </w:rPr>
        <w:t xml:space="preserve"> 1</w:t>
      </w:r>
      <w:r>
        <w:rPr>
          <w:b/>
          <w:sz w:val="24"/>
        </w:rPr>
        <w:t>7</w:t>
      </w:r>
      <w:r w:rsidR="0099132B" w:rsidRPr="0099132B">
        <w:rPr>
          <w:b/>
          <w:sz w:val="24"/>
          <w:vertAlign w:val="superscript"/>
        </w:rPr>
        <w:t>th</w:t>
      </w:r>
      <w:r>
        <w:rPr>
          <w:b/>
          <w:sz w:val="24"/>
        </w:rPr>
        <w:t xml:space="preserve"> November</w:t>
      </w:r>
      <w:r w:rsidR="00454CF6">
        <w:rPr>
          <w:b/>
          <w:sz w:val="24"/>
        </w:rPr>
        <w:t>,</w:t>
      </w:r>
      <w:r w:rsidR="00B93516" w:rsidRPr="00E30475">
        <w:rPr>
          <w:b/>
          <w:sz w:val="24"/>
        </w:rPr>
        <w:t xml:space="preserve"> 2023</w:t>
      </w:r>
    </w:p>
    <w:p w14:paraId="28DB4DAA" w14:textId="77777777" w:rsidR="00006A82" w:rsidRPr="00D92FCA" w:rsidRDefault="00006A82" w:rsidP="00955170">
      <w:pPr>
        <w:pStyle w:val="3GPPHeader"/>
        <w:rPr>
          <w:rFonts w:eastAsia="MS Mincho" w:cs="Arial"/>
          <w:szCs w:val="24"/>
          <w:lang w:eastAsia="en-US"/>
        </w:rPr>
      </w:pPr>
    </w:p>
    <w:p w14:paraId="003F3EF7" w14:textId="1B6F6175"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5F009C">
        <w:rPr>
          <w:rFonts w:ascii="Arial" w:eastAsia="MS Mincho" w:hAnsi="Arial" w:cs="Arial"/>
          <w:szCs w:val="24"/>
          <w:lang w:eastAsia="en-US"/>
        </w:rPr>
        <w:t>7.12.</w:t>
      </w:r>
      <w:r w:rsidR="00D20C09">
        <w:rPr>
          <w:rFonts w:ascii="Arial" w:eastAsia="MS Mincho" w:hAnsi="Arial" w:cs="Arial"/>
          <w:szCs w:val="24"/>
          <w:lang w:eastAsia="en-US"/>
        </w:rPr>
        <w:t>1</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0F39D3D5" w:rsidR="006D529F" w:rsidRPr="002328E6" w:rsidRDefault="00955170" w:rsidP="00101B1E">
      <w:pPr>
        <w:pStyle w:val="3GPPHeader"/>
        <w:ind w:left="1699" w:hangingChars="705" w:hanging="1699"/>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CF7D47" w:rsidRPr="00CF7D47">
        <w:rPr>
          <w:rFonts w:ascii="Arial" w:eastAsia="MS Mincho" w:hAnsi="Arial" w:cs="Arial"/>
          <w:szCs w:val="24"/>
          <w:lang w:eastAsia="en-US"/>
        </w:rPr>
        <w:t>Overview on mobile IAB-node and legacy IAB-node</w:t>
      </w:r>
      <w:r w:rsidR="00E93949">
        <w:rPr>
          <w:rFonts w:ascii="Arial" w:eastAsia="MS Mincho" w:hAnsi="Arial" w:cs="Arial"/>
          <w:szCs w:val="24"/>
          <w:lang w:eastAsia="en-US"/>
        </w:rPr>
        <w:t>: (m)IAB-support indication, Msg5 and UE capability</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0AD64B9C" w14:textId="772D24EA" w:rsidR="00C96C52" w:rsidRDefault="00CF7D47" w:rsidP="00A81B6B">
      <w:r>
        <w:t>The issue of Rel-18 mobile IAB-node operating as Rel-16/17</w:t>
      </w:r>
      <w:r w:rsidR="005F009C">
        <w:t xml:space="preserve"> </w:t>
      </w:r>
      <w:r>
        <w:t xml:space="preserve">IAB-node </w:t>
      </w:r>
      <w:r w:rsidR="005F009C">
        <w:t xml:space="preserve">was </w:t>
      </w:r>
      <w:r>
        <w:t>discussed in the last meeting</w:t>
      </w:r>
      <w:r w:rsidR="00DC0758">
        <w:t>.</w:t>
      </w:r>
      <w:r>
        <w:t xml:space="preserve"> The following agreements were achieved</w:t>
      </w:r>
      <w:r w:rsidR="00503E4B">
        <w:t xml:space="preserve"> </w:t>
      </w:r>
      <w:r w:rsidR="00503E4B">
        <w:fldChar w:fldCharType="begin"/>
      </w:r>
      <w:r w:rsidR="00503E4B">
        <w:instrText xml:space="preserve"> REF _Ref109308746 \r \h </w:instrText>
      </w:r>
      <w:r w:rsidR="00503E4B">
        <w:fldChar w:fldCharType="separate"/>
      </w:r>
      <w:r w:rsidR="00503E4B">
        <w:t>[1]</w:t>
      </w:r>
      <w:r w:rsidR="00503E4B">
        <w:fldChar w:fldCharType="end"/>
      </w:r>
      <w:r>
        <w:t>:</w:t>
      </w:r>
    </w:p>
    <w:p w14:paraId="6D13FE2A" w14:textId="3102BF73" w:rsidR="00CF7D47" w:rsidRPr="00CF7D47" w:rsidRDefault="00CF7D47" w:rsidP="00CF7D47">
      <w:pPr>
        <w:pStyle w:val="af8"/>
        <w:numPr>
          <w:ilvl w:val="0"/>
          <w:numId w:val="26"/>
        </w:numPr>
        <w:spacing w:after="180"/>
        <w:ind w:left="714" w:hanging="357"/>
        <w:rPr>
          <w:rFonts w:ascii="Times New Roman" w:hAnsi="Times New Roman"/>
          <w:i/>
          <w:sz w:val="20"/>
        </w:rPr>
      </w:pPr>
      <w:r w:rsidRPr="00CF7D47">
        <w:rPr>
          <w:rFonts w:ascii="Times New Roman" w:hAnsi="Times New Roman"/>
          <w:i/>
          <w:sz w:val="20"/>
        </w:rPr>
        <w:t xml:space="preserve">From R2 perspective It is not supported that Rel-18 mobile IAB-node concurrently operate as a Rel-16/17 IAB-node, as e.g. mobile-IAB doesn’t support child IAB nodes. </w:t>
      </w:r>
    </w:p>
    <w:p w14:paraId="330A937D" w14:textId="390DE82C" w:rsidR="00CF7D47" w:rsidRPr="00CF7D47" w:rsidRDefault="00CF7D47" w:rsidP="00CF7D47">
      <w:pPr>
        <w:pStyle w:val="af8"/>
        <w:numPr>
          <w:ilvl w:val="0"/>
          <w:numId w:val="26"/>
        </w:numPr>
        <w:spacing w:after="180"/>
        <w:ind w:left="714" w:hanging="357"/>
        <w:rPr>
          <w:rFonts w:ascii="Times New Roman" w:hAnsi="Times New Roman"/>
          <w:i/>
          <w:sz w:val="20"/>
        </w:rPr>
      </w:pPr>
      <w:r w:rsidRPr="00CF7D47">
        <w:rPr>
          <w:rFonts w:ascii="Times New Roman" w:hAnsi="Times New Roman"/>
          <w:i/>
          <w:sz w:val="20"/>
        </w:rPr>
        <w:t xml:space="preserve">This means that there are restrictions for the network in configuring concurrent use of R-18 mIAB feature(s) and rel-16/17 IAB features (details FFS). </w:t>
      </w:r>
    </w:p>
    <w:p w14:paraId="3F120520" w14:textId="38803ED0" w:rsidR="00CF7D47" w:rsidRDefault="00CF7D47" w:rsidP="00CF7D47">
      <w:pPr>
        <w:pStyle w:val="af8"/>
        <w:numPr>
          <w:ilvl w:val="0"/>
          <w:numId w:val="26"/>
        </w:numPr>
        <w:spacing w:after="180"/>
        <w:ind w:left="714" w:hanging="357"/>
        <w:rPr>
          <w:rFonts w:ascii="Times New Roman" w:hAnsi="Times New Roman"/>
          <w:i/>
          <w:sz w:val="20"/>
        </w:rPr>
      </w:pPr>
      <w:r w:rsidRPr="00CF7D47">
        <w:rPr>
          <w:rFonts w:ascii="Times New Roman" w:hAnsi="Times New Roman"/>
          <w:i/>
          <w:sz w:val="20"/>
        </w:rPr>
        <w:t xml:space="preserve">FFS if an IAB-node may send both </w:t>
      </w:r>
      <w:r w:rsidR="00AD7AA3">
        <w:rPr>
          <w:rFonts w:ascii="Times New Roman" w:hAnsi="Times New Roman"/>
          <w:i/>
          <w:sz w:val="20"/>
        </w:rPr>
        <w:t>Msg5</w:t>
      </w:r>
      <w:r w:rsidRPr="00CF7D47">
        <w:rPr>
          <w:rFonts w:ascii="Times New Roman" w:hAnsi="Times New Roman"/>
          <w:i/>
          <w:sz w:val="20"/>
        </w:rPr>
        <w:t xml:space="preserve"> indications to the network, and the network decides (or if the IAB-node should decide).</w:t>
      </w:r>
    </w:p>
    <w:p w14:paraId="6CD10F78" w14:textId="2F498D92" w:rsidR="00CF7D47" w:rsidRPr="00CF7D47" w:rsidRDefault="00CF7D47" w:rsidP="00CF7D47">
      <w:r>
        <w:t>This contribution mainly focuses on the remaining issues for the mobile IAB-node operating as Rel-16/17 IAB-node</w:t>
      </w:r>
      <w:r w:rsidR="001A0A19">
        <w:t>, and provides our views on the time-based CHO</w:t>
      </w:r>
      <w:r>
        <w:t>.</w:t>
      </w:r>
    </w:p>
    <w:p w14:paraId="43B4CC6F" w14:textId="565F65F9" w:rsid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54D1ED7F" w14:textId="2FD5EA4C" w:rsidR="00DC0758" w:rsidRDefault="00DC0758" w:rsidP="00DC0758">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w:t>
      </w:r>
      <w:r w:rsidRPr="00D92FCA">
        <w:rPr>
          <w:rFonts w:ascii="Arial" w:eastAsia="Malgun Gothic" w:hAnsi="Arial"/>
          <w:sz w:val="32"/>
          <w:lang w:eastAsia="de-DE"/>
        </w:rPr>
        <w:t>.1</w:t>
      </w:r>
      <w:r w:rsidRPr="00D92FCA">
        <w:rPr>
          <w:rFonts w:ascii="Arial" w:eastAsia="Malgun Gothic" w:hAnsi="Arial"/>
          <w:sz w:val="32"/>
          <w:lang w:eastAsia="de-DE"/>
        </w:rPr>
        <w:tab/>
      </w:r>
      <w:r w:rsidR="00D20C09" w:rsidRPr="00D20C09">
        <w:rPr>
          <w:rFonts w:ascii="Arial" w:eastAsia="Malgun Gothic" w:hAnsi="Arial"/>
          <w:sz w:val="32"/>
          <w:lang w:eastAsia="de-DE"/>
        </w:rPr>
        <w:t>Overview on mobile IAB-node and legacy IAB-node</w:t>
      </w:r>
    </w:p>
    <w:p w14:paraId="0A6A8B26" w14:textId="2697281D" w:rsidR="00D20C09" w:rsidRPr="00E10A20" w:rsidRDefault="00D20C09" w:rsidP="00D20C09">
      <w:pPr>
        <w:keepNext/>
        <w:keepLines/>
        <w:spacing w:before="120"/>
        <w:ind w:left="1134" w:hanging="1134"/>
        <w:outlineLvl w:val="2"/>
        <w:rPr>
          <w:rFonts w:ascii="Arial" w:eastAsia="Malgun Gothic" w:hAnsi="Arial"/>
          <w:sz w:val="28"/>
          <w:lang w:eastAsia="de-DE"/>
        </w:rPr>
      </w:pPr>
      <w:bookmarkStart w:id="3" w:name="_Toc147158679"/>
      <w:r>
        <w:rPr>
          <w:rFonts w:ascii="Arial" w:eastAsia="Malgun Gothic" w:hAnsi="Arial"/>
          <w:sz w:val="28"/>
          <w:lang w:eastAsia="de-DE"/>
        </w:rPr>
        <w:t>2.1</w:t>
      </w:r>
      <w:r w:rsidRPr="00E10A20">
        <w:rPr>
          <w:rFonts w:ascii="Arial" w:eastAsia="Malgun Gothic" w:hAnsi="Arial"/>
          <w:sz w:val="28"/>
          <w:lang w:eastAsia="de-DE"/>
        </w:rPr>
        <w:t>.1</w:t>
      </w:r>
      <w:r w:rsidRPr="00E10A20">
        <w:rPr>
          <w:rFonts w:ascii="Arial" w:eastAsia="Malgun Gothic" w:hAnsi="Arial"/>
          <w:sz w:val="28"/>
          <w:lang w:eastAsia="de-DE"/>
        </w:rPr>
        <w:tab/>
      </w:r>
      <w:bookmarkEnd w:id="3"/>
      <w:r>
        <w:rPr>
          <w:rFonts w:ascii="Arial" w:eastAsia="Malgun Gothic" w:hAnsi="Arial"/>
          <w:sz w:val="28"/>
          <w:lang w:eastAsia="de-DE"/>
        </w:rPr>
        <w:t>General</w:t>
      </w:r>
      <w:r w:rsidR="006B6B54">
        <w:rPr>
          <w:rFonts w:ascii="Arial" w:eastAsia="Malgun Gothic" w:hAnsi="Arial"/>
          <w:sz w:val="28"/>
          <w:lang w:eastAsia="de-DE"/>
        </w:rPr>
        <w:t xml:space="preserve"> and </w:t>
      </w:r>
      <w:r w:rsidR="006B6B54" w:rsidRPr="006B6B54">
        <w:rPr>
          <w:rFonts w:ascii="Arial" w:eastAsia="Malgun Gothic" w:hAnsi="Arial"/>
          <w:sz w:val="28"/>
          <w:lang w:eastAsia="de-DE"/>
        </w:rPr>
        <w:t>(m)IAB-support indication</w:t>
      </w:r>
    </w:p>
    <w:p w14:paraId="660E2039" w14:textId="348219C0" w:rsidR="00AD7AA3" w:rsidRDefault="00CF7D47" w:rsidP="00DC0758">
      <w:r w:rsidRPr="00CF7D47">
        <w:t xml:space="preserve">To be backward compatible, the mobile IAB-node should be able to operate as legacy Rel-16/17 IAB-node sometimes. </w:t>
      </w:r>
      <w:r w:rsidR="00174058">
        <w:t>If the mobile IAB-node wants to access a legacy donor/cell, it can decide to operate as a legacy IAB-node</w:t>
      </w:r>
      <w:r w:rsidR="00313FA1">
        <w:t>, and indicate its type as legacy IAB-node rather than mobile IAB-node to the NW</w:t>
      </w:r>
      <w:r w:rsidR="00174058">
        <w:t xml:space="preserve">. </w:t>
      </w:r>
      <w:r w:rsidR="00AD7AA3">
        <w:t>It is proposed:</w:t>
      </w:r>
    </w:p>
    <w:p w14:paraId="123BE992" w14:textId="079CA519" w:rsidR="00AD7AA3" w:rsidRPr="00101B1E" w:rsidRDefault="00AD7AA3" w:rsidP="00DC0758">
      <w:pPr>
        <w:rPr>
          <w:b/>
        </w:rPr>
      </w:pPr>
      <w:r w:rsidRPr="00CF7D47">
        <w:rPr>
          <w:b/>
        </w:rPr>
        <w:t xml:space="preserve">Proposal </w:t>
      </w:r>
      <w:r>
        <w:rPr>
          <w:b/>
        </w:rPr>
        <w:t>1a</w:t>
      </w:r>
      <w:r w:rsidRPr="00CF7D47">
        <w:rPr>
          <w:b/>
        </w:rPr>
        <w:t xml:space="preserve">: </w:t>
      </w:r>
      <w:r>
        <w:rPr>
          <w:b/>
        </w:rPr>
        <w:t>M</w:t>
      </w:r>
      <w:r w:rsidRPr="00CF7D47">
        <w:rPr>
          <w:b/>
        </w:rPr>
        <w:t xml:space="preserve">obile IAB-node </w:t>
      </w:r>
      <w:r>
        <w:rPr>
          <w:b/>
        </w:rPr>
        <w:t xml:space="preserve">device </w:t>
      </w:r>
      <w:r w:rsidRPr="00CF7D47">
        <w:rPr>
          <w:b/>
        </w:rPr>
        <w:t>can operate/act as legacy IAB-nod</w:t>
      </w:r>
      <w:r>
        <w:rPr>
          <w:b/>
        </w:rPr>
        <w:t>e under the legacy donor/cell</w:t>
      </w:r>
      <w:r w:rsidRPr="00CF7D47">
        <w:rPr>
          <w:b/>
        </w:rPr>
        <w:t xml:space="preserve">, </w:t>
      </w:r>
      <w:r>
        <w:rPr>
          <w:b/>
        </w:rPr>
        <w:t xml:space="preserve">i.e. indicating its type as legacy IAB-node rather than mobile IAB, </w:t>
      </w:r>
      <w:r w:rsidRPr="00CF7D47">
        <w:rPr>
          <w:b/>
        </w:rPr>
        <w:t>as decided by</w:t>
      </w:r>
      <w:r w:rsidR="00D73B79">
        <w:rPr>
          <w:b/>
        </w:rPr>
        <w:t xml:space="preserve"> the</w:t>
      </w:r>
      <w:r w:rsidRPr="00CF7D47">
        <w:rPr>
          <w:b/>
        </w:rPr>
        <w:t xml:space="preserve"> OAM/</w:t>
      </w:r>
      <w:r>
        <w:rPr>
          <w:b/>
        </w:rPr>
        <w:t>m</w:t>
      </w:r>
      <w:r w:rsidRPr="00CF7D47">
        <w:rPr>
          <w:b/>
        </w:rPr>
        <w:t xml:space="preserve">obile IAB-node itself. </w:t>
      </w:r>
    </w:p>
    <w:p w14:paraId="68EF09AF" w14:textId="7366E121" w:rsidR="00CF7D47" w:rsidRPr="00CF7D47" w:rsidRDefault="00CF7D47" w:rsidP="00DC0758">
      <w:r>
        <w:t xml:space="preserve">But since some enhanced features are introduced for the mobile IAB-node scenario (e.g., </w:t>
      </w:r>
      <w:r w:rsidR="00174058">
        <w:t xml:space="preserve">the </w:t>
      </w:r>
      <w:r>
        <w:t>RACH-less and cell reselection enhancement), and the mobile IAB-node does not support DC and serving child IAB-nodes compared with legacy IAB-node, the mode transfer when the (mobile) IAB-node is working will cause large impact</w:t>
      </w:r>
      <w:r w:rsidR="00313FA1">
        <w:t>, e.g., causing the network topology changes and UE disconnection</w:t>
      </w:r>
      <w:r>
        <w:t xml:space="preserve">. The IAB-node mode switch can be done when the IAB-MT is in IDLE/INACTIVE </w:t>
      </w:r>
      <w:r w:rsidR="00660B56" w:rsidRPr="00660B56">
        <w:t xml:space="preserve">before/after camping on a cell </w:t>
      </w:r>
      <w:r>
        <w:t>by implementation, but not in CONNECTED. It is proposed:</w:t>
      </w:r>
    </w:p>
    <w:p w14:paraId="0628FF60" w14:textId="38E8946B" w:rsidR="00DC0758" w:rsidRDefault="00A9225A" w:rsidP="00DC0758">
      <w:pPr>
        <w:rPr>
          <w:b/>
        </w:rPr>
      </w:pPr>
      <w:r>
        <w:rPr>
          <w:b/>
        </w:rPr>
        <w:t xml:space="preserve">Proposal 1b: </w:t>
      </w:r>
      <w:r w:rsidR="00CF7D47" w:rsidRPr="00CF7D47">
        <w:rPr>
          <w:b/>
        </w:rPr>
        <w:t xml:space="preserve">This </w:t>
      </w:r>
      <w:r w:rsidRPr="00CF7D47">
        <w:rPr>
          <w:b/>
        </w:rPr>
        <w:t>mode swi</w:t>
      </w:r>
      <w:r>
        <w:rPr>
          <w:b/>
        </w:rPr>
        <w:t>tch</w:t>
      </w:r>
      <w:r w:rsidRPr="00CF7D47">
        <w:rPr>
          <w:b/>
        </w:rPr>
        <w:t xml:space="preserve"> </w:t>
      </w:r>
      <w:r>
        <w:rPr>
          <w:b/>
        </w:rPr>
        <w:t xml:space="preserve">between </w:t>
      </w:r>
      <w:r w:rsidR="00121E1D">
        <w:rPr>
          <w:b/>
        </w:rPr>
        <w:t>“</w:t>
      </w:r>
      <w:r>
        <w:rPr>
          <w:b/>
        </w:rPr>
        <w:t>mobile IAB</w:t>
      </w:r>
      <w:r w:rsidR="00121E1D">
        <w:rPr>
          <w:b/>
        </w:rPr>
        <w:t>” mode</w:t>
      </w:r>
      <w:r>
        <w:rPr>
          <w:b/>
        </w:rPr>
        <w:t xml:space="preserve"> and </w:t>
      </w:r>
      <w:r w:rsidR="00121E1D">
        <w:rPr>
          <w:b/>
        </w:rPr>
        <w:t>“</w:t>
      </w:r>
      <w:r>
        <w:rPr>
          <w:b/>
        </w:rPr>
        <w:t xml:space="preserve">legacy </w:t>
      </w:r>
      <w:r w:rsidR="00CF7D47" w:rsidRPr="00CF7D47">
        <w:rPr>
          <w:b/>
        </w:rPr>
        <w:t>IAB</w:t>
      </w:r>
      <w:r w:rsidR="00121E1D">
        <w:rPr>
          <w:b/>
        </w:rPr>
        <w:t>”</w:t>
      </w:r>
      <w:r w:rsidR="00CF7D47">
        <w:rPr>
          <w:b/>
        </w:rPr>
        <w:t xml:space="preserve"> </w:t>
      </w:r>
      <w:r w:rsidR="00121E1D">
        <w:rPr>
          <w:b/>
        </w:rPr>
        <w:t xml:space="preserve">mode </w:t>
      </w:r>
      <w:r w:rsidR="00CF7D47">
        <w:rPr>
          <w:b/>
        </w:rPr>
        <w:t xml:space="preserve">can be done in </w:t>
      </w:r>
      <w:r>
        <w:rPr>
          <w:b/>
        </w:rPr>
        <w:t xml:space="preserve">the </w:t>
      </w:r>
      <w:r w:rsidR="00CF7D47">
        <w:rPr>
          <w:b/>
        </w:rPr>
        <w:t>IDLE/INACTIVE</w:t>
      </w:r>
      <w:r w:rsidR="00CF7D47" w:rsidRPr="00CF7D47">
        <w:rPr>
          <w:b/>
        </w:rPr>
        <w:t xml:space="preserve"> </w:t>
      </w:r>
      <w:r>
        <w:rPr>
          <w:b/>
        </w:rPr>
        <w:t xml:space="preserve">mode </w:t>
      </w:r>
      <w:r w:rsidR="00CF7D47" w:rsidRPr="00CF7D47">
        <w:rPr>
          <w:b/>
        </w:rPr>
        <w:t xml:space="preserve">by implementation, but not in </w:t>
      </w:r>
      <w:r>
        <w:rPr>
          <w:b/>
        </w:rPr>
        <w:t xml:space="preserve">the </w:t>
      </w:r>
      <w:r w:rsidR="00CF7D47" w:rsidRPr="00CF7D47">
        <w:rPr>
          <w:b/>
        </w:rPr>
        <w:t>connected mode.</w:t>
      </w:r>
    </w:p>
    <w:p w14:paraId="02EF50EC" w14:textId="77777777" w:rsidR="00AD7AA3" w:rsidRDefault="00AD7AA3" w:rsidP="00AD7AA3">
      <w:pPr>
        <w:rPr>
          <w:b/>
        </w:rPr>
      </w:pPr>
      <w:r w:rsidRPr="00CF7D47">
        <w:rPr>
          <w:b/>
        </w:rPr>
        <w:t xml:space="preserve">Proposal </w:t>
      </w:r>
      <w:r>
        <w:rPr>
          <w:b/>
        </w:rPr>
        <w:t>1c</w:t>
      </w:r>
      <w:r w:rsidRPr="00CF7D47">
        <w:rPr>
          <w:b/>
        </w:rPr>
        <w:t>: This mode swi</w:t>
      </w:r>
      <w:r>
        <w:rPr>
          <w:b/>
        </w:rPr>
        <w:t>tch</w:t>
      </w:r>
      <w:r w:rsidRPr="00CF7D47">
        <w:rPr>
          <w:b/>
        </w:rPr>
        <w:t xml:space="preserve"> </w:t>
      </w:r>
      <w:r>
        <w:rPr>
          <w:b/>
        </w:rPr>
        <w:t xml:space="preserve">between “mobile IAB” mode and “legacy </w:t>
      </w:r>
      <w:r w:rsidRPr="00CF7D47">
        <w:rPr>
          <w:b/>
        </w:rPr>
        <w:t>IAB</w:t>
      </w:r>
      <w:r>
        <w:rPr>
          <w:b/>
        </w:rPr>
        <w:t>” mode can be done before/after camping on a cell.</w:t>
      </w:r>
      <w:r w:rsidRPr="00252D30">
        <w:rPr>
          <w:b/>
        </w:rPr>
        <w:t xml:space="preserve"> </w:t>
      </w:r>
    </w:p>
    <w:p w14:paraId="32000CC2" w14:textId="49375BEA" w:rsidR="00AD7AA3" w:rsidRDefault="00AD7AA3" w:rsidP="00AD7AA3">
      <w:pPr>
        <w:rPr>
          <w:b/>
        </w:rPr>
      </w:pPr>
      <w:r>
        <w:rPr>
          <w:b/>
        </w:rPr>
        <w:t xml:space="preserve">Proposal 1d: FFS </w:t>
      </w:r>
      <w:r w:rsidR="003B0475">
        <w:rPr>
          <w:b/>
        </w:rPr>
        <w:t>those proposals 1a/b/c</w:t>
      </w:r>
      <w:r w:rsidR="003B0475">
        <w:rPr>
          <w:b/>
        </w:rPr>
        <w:t xml:space="preserve"> are to be clarifies</w:t>
      </w:r>
      <w:r>
        <w:rPr>
          <w:b/>
        </w:rPr>
        <w:t xml:space="preserve"> in 38.300.</w:t>
      </w:r>
    </w:p>
    <w:p w14:paraId="73B9C86C" w14:textId="6A0B6963" w:rsidR="00CF7D47" w:rsidRPr="0002646E" w:rsidRDefault="00660B56" w:rsidP="00CF7D47">
      <w:pPr>
        <w:rPr>
          <w:b/>
        </w:rPr>
      </w:pPr>
      <w:bookmarkStart w:id="4" w:name="_Toc499559239"/>
      <w:bookmarkStart w:id="5" w:name="_Toc61387173"/>
      <w:bookmarkStart w:id="6" w:name="_Toc147158672"/>
      <w:r>
        <w:lastRenderedPageBreak/>
        <w:t>I</w:t>
      </w:r>
      <w:r w:rsidR="00CF7D47">
        <w:t xml:space="preserve">f </w:t>
      </w:r>
      <w:r w:rsidR="009E3E39">
        <w:t>a</w:t>
      </w:r>
      <w:r w:rsidR="00CF7D47">
        <w:t xml:space="preserve"> </w:t>
      </w:r>
      <w:r w:rsidR="009E3E39">
        <w:t>mobile IAB-node</w:t>
      </w:r>
      <w:r w:rsidR="00CF7D47">
        <w:t xml:space="preserve"> d</w:t>
      </w:r>
      <w:r w:rsidR="009E3E39">
        <w:t>ecides to work</w:t>
      </w:r>
      <w:r w:rsidR="00CF7D47">
        <w:t xml:space="preserve"> as </w:t>
      </w:r>
      <w:r w:rsidR="009E3E39">
        <w:t xml:space="preserve">a </w:t>
      </w:r>
      <w:r w:rsidR="00CF7D47">
        <w:t xml:space="preserve">legacy IAB-node, </w:t>
      </w:r>
      <w:r w:rsidR="00174058">
        <w:t>it</w:t>
      </w:r>
      <w:r w:rsidR="00CF7D47">
        <w:t>s behaviour refer</w:t>
      </w:r>
      <w:r w:rsidR="00B30944">
        <w:t>s</w:t>
      </w:r>
      <w:r w:rsidR="00CF7D47">
        <w:t xml:space="preserve"> to the legacy IAB-node but not the mobile IAB-node</w:t>
      </w:r>
      <w:r w:rsidR="00B30944">
        <w:t>, and can camp on the legacy IAB supported cell</w:t>
      </w:r>
      <w:r w:rsidR="00CF7D47">
        <w:t xml:space="preserve">. </w:t>
      </w:r>
      <w:r w:rsidR="00B30944">
        <w:t>On the other hand, if a mobile IAB-node decides to work</w:t>
      </w:r>
      <w:r w:rsidR="00FB0B8D">
        <w:t xml:space="preserve"> o</w:t>
      </w:r>
      <w:r w:rsidR="00B30944">
        <w:t>n the Rel-18 “mobile IAB-node” mode, it should not consider the “</w:t>
      </w:r>
      <w:r w:rsidR="00B30944" w:rsidRPr="00101B1E">
        <w:rPr>
          <w:i/>
        </w:rPr>
        <w:t>iab-support-r16</w:t>
      </w:r>
      <w:r w:rsidR="00B30944">
        <w:t xml:space="preserve">” indication, but </w:t>
      </w:r>
      <w:r w:rsidR="00FB0B8D">
        <w:t xml:space="preserve">can </w:t>
      </w:r>
      <w:r w:rsidR="00B30944">
        <w:t>only camp on the cell broadcasting “</w:t>
      </w:r>
      <w:r w:rsidR="00B30944" w:rsidRPr="00CF7D47">
        <w:rPr>
          <w:i/>
        </w:rPr>
        <w:t>mobileIAB-Support-r18</w:t>
      </w:r>
      <w:r w:rsidR="00B30944">
        <w:t>”.</w:t>
      </w:r>
      <w:r w:rsidR="00FB0B8D">
        <w:t xml:space="preserve"> Only the IAB-node working on the “legacy IAB-node” mode can camp on the “</w:t>
      </w:r>
      <w:r w:rsidR="00FB0B8D" w:rsidRPr="009E3E39">
        <w:rPr>
          <w:i/>
        </w:rPr>
        <w:t>iab-support-r16</w:t>
      </w:r>
      <w:r w:rsidR="00FB0B8D">
        <w:t>” cell.</w:t>
      </w:r>
    </w:p>
    <w:p w14:paraId="0CE680B2" w14:textId="75BA1783" w:rsidR="00CF7D47" w:rsidRDefault="00C7414B" w:rsidP="00CF7D47">
      <w:pPr>
        <w:rPr>
          <w:b/>
        </w:rPr>
      </w:pPr>
      <w:r>
        <w:rPr>
          <w:b/>
        </w:rPr>
        <w:t>Prop</w:t>
      </w:r>
      <w:r w:rsidR="00DE67DD">
        <w:rPr>
          <w:b/>
        </w:rPr>
        <w:t>osal 2</w:t>
      </w:r>
      <w:r>
        <w:rPr>
          <w:b/>
        </w:rPr>
        <w:t xml:space="preserve">: After </w:t>
      </w:r>
      <w:r w:rsidR="008B4B5C">
        <w:rPr>
          <w:b/>
        </w:rPr>
        <w:t xml:space="preserve">the </w:t>
      </w:r>
      <w:r w:rsidR="00CF7D47" w:rsidRPr="00CF7D47">
        <w:rPr>
          <w:b/>
        </w:rPr>
        <w:t>“Mobile IAB-</w:t>
      </w:r>
      <w:r>
        <w:rPr>
          <w:b/>
        </w:rPr>
        <w:t>node</w:t>
      </w:r>
      <w:r w:rsidR="00CF7D47" w:rsidRPr="00CF7D47">
        <w:rPr>
          <w:b/>
        </w:rPr>
        <w:t xml:space="preserve">” </w:t>
      </w:r>
      <w:r>
        <w:rPr>
          <w:b/>
        </w:rPr>
        <w:t>mode is used</w:t>
      </w:r>
      <w:r w:rsidR="00252D30">
        <w:rPr>
          <w:b/>
        </w:rPr>
        <w:t>/decide</w:t>
      </w:r>
      <w:r>
        <w:rPr>
          <w:b/>
        </w:rPr>
        <w:t xml:space="preserve">, mobile IAB-MT </w:t>
      </w:r>
      <w:r w:rsidR="00CF7D47" w:rsidRPr="00CF7D47">
        <w:rPr>
          <w:b/>
        </w:rPr>
        <w:t>can only camp on the cell which broadcasts “</w:t>
      </w:r>
      <w:r w:rsidR="00CF7D47" w:rsidRPr="00174058">
        <w:rPr>
          <w:b/>
          <w:i/>
        </w:rPr>
        <w:t>mobileIAB-Support-r18</w:t>
      </w:r>
      <w:r w:rsidR="00CF7D47" w:rsidRPr="00CF7D47">
        <w:rPr>
          <w:b/>
        </w:rPr>
        <w:t xml:space="preserve">” in IDLE/INACTIVE </w:t>
      </w:r>
      <w:r w:rsidR="00874FA9">
        <w:rPr>
          <w:b/>
        </w:rPr>
        <w:t>state</w:t>
      </w:r>
      <w:r w:rsidR="00CF7D47" w:rsidRPr="00CF7D47">
        <w:rPr>
          <w:b/>
        </w:rPr>
        <w:t>.</w:t>
      </w:r>
      <w:r>
        <w:rPr>
          <w:b/>
        </w:rPr>
        <w:t xml:space="preserve"> </w:t>
      </w:r>
    </w:p>
    <w:p w14:paraId="47EAA4C1" w14:textId="1E75B708" w:rsidR="00D20C09" w:rsidRPr="00E10A20" w:rsidRDefault="00D20C09" w:rsidP="00D20C09">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2.1</w:t>
      </w:r>
      <w:r w:rsidRPr="00E10A20">
        <w:rPr>
          <w:rFonts w:ascii="Arial" w:eastAsia="Malgun Gothic" w:hAnsi="Arial"/>
          <w:sz w:val="28"/>
          <w:lang w:eastAsia="de-DE"/>
        </w:rPr>
        <w:t>.</w:t>
      </w:r>
      <w:r w:rsidR="006B6B54">
        <w:rPr>
          <w:rFonts w:ascii="Arial" w:eastAsia="Malgun Gothic" w:hAnsi="Arial"/>
          <w:sz w:val="28"/>
          <w:lang w:eastAsia="de-DE"/>
        </w:rPr>
        <w:t>2</w:t>
      </w:r>
      <w:r w:rsidRPr="00E10A20">
        <w:rPr>
          <w:rFonts w:ascii="Arial" w:eastAsia="Malgun Gothic" w:hAnsi="Arial"/>
          <w:sz w:val="28"/>
          <w:lang w:eastAsia="de-DE"/>
        </w:rPr>
        <w:tab/>
      </w:r>
      <w:r w:rsidR="004C600B" w:rsidRPr="00D20C09">
        <w:rPr>
          <w:rFonts w:ascii="Arial" w:eastAsia="Malgun Gothic" w:hAnsi="Arial"/>
          <w:sz w:val="28"/>
          <w:lang w:eastAsia="de-DE"/>
        </w:rPr>
        <w:t>M</w:t>
      </w:r>
      <w:r w:rsidR="004C600B">
        <w:rPr>
          <w:rFonts w:ascii="Arial" w:eastAsia="Malgun Gothic" w:hAnsi="Arial"/>
          <w:sz w:val="28"/>
          <w:lang w:eastAsia="de-DE"/>
        </w:rPr>
        <w:t>sg</w:t>
      </w:r>
      <w:r w:rsidR="004C600B" w:rsidRPr="00D20C09">
        <w:rPr>
          <w:rFonts w:ascii="Arial" w:eastAsia="Malgun Gothic" w:hAnsi="Arial"/>
          <w:sz w:val="28"/>
          <w:lang w:eastAsia="de-DE"/>
        </w:rPr>
        <w:t xml:space="preserve">5 </w:t>
      </w:r>
      <w:r w:rsidRPr="00D20C09">
        <w:rPr>
          <w:rFonts w:ascii="Arial" w:eastAsia="Malgun Gothic" w:hAnsi="Arial"/>
          <w:sz w:val="28"/>
          <w:lang w:eastAsia="de-DE"/>
        </w:rPr>
        <w:t>indicatio</w:t>
      </w:r>
      <w:r w:rsidR="00AF7075">
        <w:rPr>
          <w:rFonts w:ascii="Arial" w:eastAsia="Malgun Gothic" w:hAnsi="Arial"/>
          <w:sz w:val="28"/>
          <w:lang w:eastAsia="de-DE"/>
        </w:rPr>
        <w:t>n</w:t>
      </w:r>
    </w:p>
    <w:p w14:paraId="795C089F" w14:textId="5EA2D2F5" w:rsidR="007611D5" w:rsidRDefault="009E3E39" w:rsidP="007611D5">
      <w:r>
        <w:t>I</w:t>
      </w:r>
      <w:r w:rsidR="00CF7D47">
        <w:t xml:space="preserve">f the “mobile IAB-MT” refers to the </w:t>
      </w:r>
      <w:r>
        <w:t>IAB-node working in the Rel-18</w:t>
      </w:r>
      <w:r w:rsidR="00CF7D47">
        <w:t xml:space="preserve"> mode</w:t>
      </w:r>
      <w:r w:rsidRPr="009E3E39">
        <w:t xml:space="preserve"> </w:t>
      </w:r>
      <w:r>
        <w:t>as indicated in our clause 2.</w:t>
      </w:r>
      <w:r w:rsidR="00174058">
        <w:t>1.</w:t>
      </w:r>
      <w:r w:rsidR="00FB0B8D">
        <w:t>1</w:t>
      </w:r>
      <w:r w:rsidR="00CF7D47">
        <w:t xml:space="preserve">, the mobile IAB-MT </w:t>
      </w:r>
      <w:r w:rsidR="00174058">
        <w:t xml:space="preserve">will </w:t>
      </w:r>
      <w:r w:rsidR="00CF7D47">
        <w:t>always indicate “</w:t>
      </w:r>
      <w:r w:rsidR="00CF7D47" w:rsidRPr="00CF7D47">
        <w:rPr>
          <w:i/>
        </w:rPr>
        <w:t>mobileIAB-NodeIndication-r18</w:t>
      </w:r>
      <w:r w:rsidR="00CF7D47">
        <w:t xml:space="preserve">” in </w:t>
      </w:r>
      <w:r w:rsidR="00AD7AA3">
        <w:t>Msg5</w:t>
      </w:r>
      <w:r w:rsidR="00CF7D47">
        <w:t xml:space="preserve">, which is also aligned with </w:t>
      </w:r>
      <w:r w:rsidR="00AD7AA3">
        <w:t xml:space="preserve">the latest </w:t>
      </w:r>
      <w:r w:rsidR="00CF7D47">
        <w:t>SA2 agreed CR</w:t>
      </w:r>
      <w:r w:rsidR="00503E4B">
        <w:t xml:space="preserve"> </w:t>
      </w:r>
      <w:r w:rsidR="00503E4B">
        <w:fldChar w:fldCharType="begin"/>
      </w:r>
      <w:r w:rsidR="00503E4B">
        <w:instrText xml:space="preserve"> REF _Ref149308309 \r \h </w:instrText>
      </w:r>
      <w:r w:rsidR="00503E4B">
        <w:fldChar w:fldCharType="separate"/>
      </w:r>
      <w:r w:rsidR="00503E4B">
        <w:t>[2]</w:t>
      </w:r>
      <w:r w:rsidR="00503E4B">
        <w:fldChar w:fldCharType="end"/>
      </w:r>
      <w:r w:rsidR="00CF7D47">
        <w:t>. The relevant part in SA2 CR is given as follows:</w:t>
      </w:r>
    </w:p>
    <w:tbl>
      <w:tblPr>
        <w:tblStyle w:val="af9"/>
        <w:tblW w:w="0" w:type="auto"/>
        <w:tblLook w:val="04A0" w:firstRow="1" w:lastRow="0" w:firstColumn="1" w:lastColumn="0" w:noHBand="0" w:noVBand="1"/>
      </w:tblPr>
      <w:tblGrid>
        <w:gridCol w:w="9628"/>
      </w:tblGrid>
      <w:tr w:rsidR="0002646E" w:rsidRPr="0002646E" w14:paraId="0C05CACC" w14:textId="77777777" w:rsidTr="00A25682">
        <w:tc>
          <w:tcPr>
            <w:tcW w:w="9628" w:type="dxa"/>
          </w:tcPr>
          <w:p w14:paraId="66E576A7" w14:textId="71EE881E" w:rsidR="0002646E" w:rsidRPr="0002646E" w:rsidRDefault="0002646E" w:rsidP="0002646E">
            <w:r w:rsidRPr="00DA6332">
              <w:t xml:space="preserve">For a MBSR node to operate as a MBSR, it provides a mobile IAB-indication to the IAB-donor-CU when the RRC connection is established as defined in TS 38.331 [28]. When the mobile IAB-indication is received, the IAB-donor-CU selects an </w:t>
            </w:r>
            <w:r w:rsidRPr="00D012D9">
              <w:t>AMF that supports mobile IAB-node and includes the mobile IAB-indication in the N2 INITIAL UE MESSAGE as defined in TS 38.413 [34] so that the AMF can perform MBSR</w:t>
            </w:r>
            <w:r w:rsidRPr="00D012D9" w:rsidDel="00956EDE">
              <w:t xml:space="preserve"> </w:t>
            </w:r>
            <w:r w:rsidRPr="00D012D9">
              <w:t xml:space="preserve">authorization as described in clause 5.35A.4. </w:t>
            </w:r>
            <w:r w:rsidRPr="0002646E">
              <w:rPr>
                <w:highlight w:val="yellow"/>
              </w:rPr>
              <w:t xml:space="preserve">If the MBSR node is not </w:t>
            </w:r>
            <w:r w:rsidRPr="0002646E">
              <w:rPr>
                <w:highlight w:val="yellow"/>
                <w:lang w:eastAsia="zh-CN"/>
              </w:rPr>
              <w:t>authorized</w:t>
            </w:r>
            <w:r w:rsidRPr="00D012D9">
              <w:t xml:space="preserve">, e.g. due to the MBSR authorization indication from AMF, </w:t>
            </w:r>
            <w:r w:rsidRPr="0002646E">
              <w:rPr>
                <w:highlight w:val="yellow"/>
              </w:rPr>
              <w:t>it also provides the mobile IAB-indication when establishing new RRC connection</w:t>
            </w:r>
            <w:r w:rsidRPr="00D012D9">
              <w:t xml:space="preserve"> so that the AMF supporting mobile IAB-node will be selected by the IAB-donor-CU, to ensure that the operation related to MBSR authorization status change for a registered MBSR node can be performed as described in clause 5.35A.4.</w:t>
            </w:r>
          </w:p>
        </w:tc>
      </w:tr>
    </w:tbl>
    <w:p w14:paraId="281C465E" w14:textId="77777777" w:rsidR="00CF7D47" w:rsidRDefault="00CF7D47" w:rsidP="007611D5"/>
    <w:p w14:paraId="5FC44C27" w14:textId="2783D8BF" w:rsidR="00CF7D47" w:rsidRDefault="00CF7D47" w:rsidP="007611D5">
      <w:r>
        <w:t xml:space="preserve">That is, the mobile IAB-MT always includes the mobile IAB-node indication in </w:t>
      </w:r>
      <w:r w:rsidR="00AD7AA3">
        <w:t>Msg5</w:t>
      </w:r>
      <w:r>
        <w:t xml:space="preserve"> no matter whether it is </w:t>
      </w:r>
      <w:r w:rsidR="0002646E">
        <w:t xml:space="preserve">currently </w:t>
      </w:r>
      <w:r>
        <w:t>authorized as the mobile IAB-node. It is proposed:</w:t>
      </w:r>
    </w:p>
    <w:p w14:paraId="30256B72" w14:textId="3D6F52B6" w:rsidR="00CF7D47" w:rsidRPr="0002646E" w:rsidRDefault="00174058" w:rsidP="00CF7D47">
      <w:pPr>
        <w:rPr>
          <w:b/>
        </w:rPr>
      </w:pPr>
      <w:r>
        <w:rPr>
          <w:b/>
        </w:rPr>
        <w:t xml:space="preserve">Proposal </w:t>
      </w:r>
      <w:r w:rsidR="00DE67DD">
        <w:rPr>
          <w:b/>
        </w:rPr>
        <w:t>3</w:t>
      </w:r>
      <w:r>
        <w:rPr>
          <w:b/>
        </w:rPr>
        <w:t>a: M</w:t>
      </w:r>
      <w:r w:rsidR="00CF7D47" w:rsidRPr="0002646E">
        <w:rPr>
          <w:b/>
        </w:rPr>
        <w:t>obile IAB-MT always indicate “</w:t>
      </w:r>
      <w:r w:rsidR="00CF7D47" w:rsidRPr="0002646E">
        <w:rPr>
          <w:b/>
          <w:i/>
        </w:rPr>
        <w:t>mobileIAB-NodeIndication-r18</w:t>
      </w:r>
      <w:r w:rsidR="00CF7D47" w:rsidRPr="0002646E">
        <w:rPr>
          <w:b/>
        </w:rPr>
        <w:t xml:space="preserve">” in </w:t>
      </w:r>
      <w:r w:rsidR="00AD7AA3">
        <w:rPr>
          <w:b/>
        </w:rPr>
        <w:t>Msg5</w:t>
      </w:r>
      <w:r w:rsidR="00CF7D47" w:rsidRPr="0002646E">
        <w:rPr>
          <w:b/>
        </w:rPr>
        <w:t xml:space="preserve"> (based on </w:t>
      </w:r>
      <w:r w:rsidR="00DE67DD">
        <w:rPr>
          <w:b/>
        </w:rPr>
        <w:t xml:space="preserve">the latest </w:t>
      </w:r>
      <w:r w:rsidR="00CF7D47" w:rsidRPr="0002646E">
        <w:rPr>
          <w:b/>
        </w:rPr>
        <w:t xml:space="preserve">SA2 </w:t>
      </w:r>
      <w:r w:rsidR="0002646E" w:rsidRPr="0002646E">
        <w:rPr>
          <w:b/>
        </w:rPr>
        <w:t xml:space="preserve">agreed </w:t>
      </w:r>
      <w:r w:rsidR="00CF7D47" w:rsidRPr="0002646E">
        <w:rPr>
          <w:b/>
        </w:rPr>
        <w:t>CR)</w:t>
      </w:r>
      <w:r w:rsidR="0002646E" w:rsidRPr="0002646E">
        <w:rPr>
          <w:b/>
        </w:rPr>
        <w:t>.</w:t>
      </w:r>
    </w:p>
    <w:p w14:paraId="00580EC7" w14:textId="59AEEF0E" w:rsidR="0002646E" w:rsidRDefault="00174058" w:rsidP="0002646E">
      <w:r>
        <w:t>Besides, we</w:t>
      </w:r>
      <w:r w:rsidR="0002646E">
        <w:t xml:space="preserve"> think the mobile IAB-MT can</w:t>
      </w:r>
      <w:r>
        <w:t>not</w:t>
      </w:r>
      <w:r w:rsidR="0002646E">
        <w:t xml:space="preserve"> indicate both indications in </w:t>
      </w:r>
      <w:r w:rsidR="00AD7AA3">
        <w:t>Msg5</w:t>
      </w:r>
      <w:r w:rsidR="0002646E">
        <w:t>, i.e., t</w:t>
      </w:r>
      <w:r w:rsidR="00CF7D47">
        <w:t>he mobile IAB-MT does not indicate “</w:t>
      </w:r>
      <w:r w:rsidR="00CF7D47" w:rsidRPr="00CF7D47">
        <w:rPr>
          <w:i/>
        </w:rPr>
        <w:t>iab-NodeIndication</w:t>
      </w:r>
      <w:r w:rsidR="00CF7D47">
        <w:t xml:space="preserve">” in </w:t>
      </w:r>
      <w:r w:rsidR="00AD7AA3">
        <w:t>Msg5</w:t>
      </w:r>
      <w:r w:rsidR="00CF7D47">
        <w:t xml:space="preserve">. That also means the CN cannot </w:t>
      </w:r>
      <w:r w:rsidR="0002646E">
        <w:t>fallback the mobile IAB-node authorization directly to the legacy IAB-node. If the mobile IAB authorization fails, the mobile IAB-node may decide to switch the mode back to legacy IAB by impl</w:t>
      </w:r>
      <w:r w:rsidR="009E3E39">
        <w:t>ementation. In the spec point of view,</w:t>
      </w:r>
      <w:r w:rsidR="0002646E">
        <w:t xml:space="preserve"> </w:t>
      </w:r>
      <w:r w:rsidR="009E3E39">
        <w:t xml:space="preserve">it is a </w:t>
      </w:r>
      <w:r w:rsidR="0002646E">
        <w:t>legacy IAB-node</w:t>
      </w:r>
      <w:r w:rsidR="009E3E39">
        <w:t xml:space="preserve"> </w:t>
      </w:r>
      <w:r>
        <w:t>now,</w:t>
      </w:r>
      <w:r w:rsidR="009E3E39">
        <w:t xml:space="preserve"> and </w:t>
      </w:r>
      <w:r>
        <w:t xml:space="preserve">it </w:t>
      </w:r>
      <w:r w:rsidR="0002646E">
        <w:t>will request connection again</w:t>
      </w:r>
      <w:r w:rsidR="009E3E39">
        <w:t xml:space="preserve"> by </w:t>
      </w:r>
      <w:r w:rsidR="00FB0B8D">
        <w:t xml:space="preserve">only </w:t>
      </w:r>
      <w:r w:rsidR="009E3E39">
        <w:t>indicating the “</w:t>
      </w:r>
      <w:r w:rsidR="009E3E39" w:rsidRPr="00CF7D47">
        <w:rPr>
          <w:i/>
        </w:rPr>
        <w:t>iab-NodeIndication</w:t>
      </w:r>
      <w:r w:rsidR="009E3E39">
        <w:t xml:space="preserve">” in </w:t>
      </w:r>
      <w:r w:rsidR="00AD7AA3">
        <w:t>Msg5</w:t>
      </w:r>
      <w:r w:rsidR="0002646E">
        <w:t>. It is not a “</w:t>
      </w:r>
      <w:r w:rsidR="0002646E" w:rsidRPr="0002646E">
        <w:rPr>
          <w:u w:val="single"/>
        </w:rPr>
        <w:t>mobile IAB-MT</w:t>
      </w:r>
      <w:r w:rsidR="0002646E">
        <w:t>” to indicate the “</w:t>
      </w:r>
      <w:r w:rsidR="0002646E" w:rsidRPr="00CF7D47">
        <w:rPr>
          <w:i/>
        </w:rPr>
        <w:t>iab-NodeIndication</w:t>
      </w:r>
      <w:r w:rsidR="0002646E">
        <w:t xml:space="preserve">” in </w:t>
      </w:r>
      <w:r w:rsidR="00AD7AA3">
        <w:t>Msg5</w:t>
      </w:r>
      <w:r w:rsidR="0002646E">
        <w:t xml:space="preserve">. </w:t>
      </w:r>
      <w:r w:rsidR="009E3E39">
        <w:t>Such way forward may also need to be discussed by SA2</w:t>
      </w:r>
      <w:r w:rsidR="0002646E">
        <w:t>.</w:t>
      </w:r>
    </w:p>
    <w:p w14:paraId="7DD617F7" w14:textId="2B58FB8D" w:rsidR="000D6AF2" w:rsidRDefault="000D6AF2" w:rsidP="000D6AF2">
      <w:pPr>
        <w:rPr>
          <w:b/>
        </w:rPr>
      </w:pPr>
      <w:r>
        <w:rPr>
          <w:b/>
        </w:rPr>
        <w:t xml:space="preserve">Observation </w:t>
      </w:r>
      <w:r w:rsidR="008C062B">
        <w:rPr>
          <w:b/>
        </w:rPr>
        <w:t>1</w:t>
      </w:r>
      <w:r w:rsidRPr="0002646E">
        <w:rPr>
          <w:b/>
        </w:rPr>
        <w:t xml:space="preserve">: If mobile IAB authorization fails, </w:t>
      </w:r>
      <w:r w:rsidR="00660B56">
        <w:rPr>
          <w:b/>
        </w:rPr>
        <w:t xml:space="preserve">the </w:t>
      </w:r>
      <w:r w:rsidRPr="0002646E">
        <w:rPr>
          <w:b/>
        </w:rPr>
        <w:t xml:space="preserve">IAB node may switch the mode back to legacy IAB-node by implementation to request connection again. </w:t>
      </w:r>
    </w:p>
    <w:p w14:paraId="1B9E5F32" w14:textId="7189D1B3" w:rsidR="0002646E" w:rsidRPr="0002646E" w:rsidRDefault="00174058" w:rsidP="00CF7D47">
      <w:pPr>
        <w:rPr>
          <w:b/>
        </w:rPr>
      </w:pPr>
      <w:r>
        <w:rPr>
          <w:b/>
        </w:rPr>
        <w:t xml:space="preserve">Proposal </w:t>
      </w:r>
      <w:r w:rsidR="00374897">
        <w:rPr>
          <w:b/>
        </w:rPr>
        <w:t>3b</w:t>
      </w:r>
      <w:r>
        <w:rPr>
          <w:b/>
        </w:rPr>
        <w:t>: M</w:t>
      </w:r>
      <w:r w:rsidR="0002646E" w:rsidRPr="0002646E">
        <w:rPr>
          <w:b/>
        </w:rPr>
        <w:t>obile IAB-MT does not indicate “</w:t>
      </w:r>
      <w:r w:rsidR="0002646E" w:rsidRPr="0002646E">
        <w:rPr>
          <w:b/>
          <w:i/>
        </w:rPr>
        <w:t>iab-NodeIndication</w:t>
      </w:r>
      <w:r w:rsidR="008C062B">
        <w:rPr>
          <w:b/>
          <w:i/>
        </w:rPr>
        <w:t>-r16</w:t>
      </w:r>
      <w:r w:rsidR="0002646E" w:rsidRPr="0002646E">
        <w:rPr>
          <w:b/>
        </w:rPr>
        <w:t xml:space="preserve">” in </w:t>
      </w:r>
      <w:r w:rsidR="00AD7AA3">
        <w:rPr>
          <w:b/>
        </w:rPr>
        <w:t>Msg5</w:t>
      </w:r>
      <w:r w:rsidR="0002646E" w:rsidRPr="0002646E">
        <w:rPr>
          <w:b/>
        </w:rPr>
        <w:t xml:space="preserve">. (i.e., not support </w:t>
      </w:r>
      <w:r w:rsidR="00374897">
        <w:rPr>
          <w:b/>
        </w:rPr>
        <w:t>the</w:t>
      </w:r>
      <w:r w:rsidR="00AD7AA3">
        <w:rPr>
          <w:b/>
        </w:rPr>
        <w:t xml:space="preserve"> </w:t>
      </w:r>
      <w:r w:rsidR="0002646E" w:rsidRPr="0002646E">
        <w:rPr>
          <w:b/>
        </w:rPr>
        <w:t xml:space="preserve">authorization directly </w:t>
      </w:r>
      <w:r w:rsidR="00AD7AA3">
        <w:rPr>
          <w:b/>
        </w:rPr>
        <w:t xml:space="preserve">fallback </w:t>
      </w:r>
      <w:r w:rsidR="0002646E" w:rsidRPr="0002646E">
        <w:rPr>
          <w:b/>
        </w:rPr>
        <w:t>to IAB-node</w:t>
      </w:r>
      <w:r w:rsidR="00374897">
        <w:rPr>
          <w:b/>
        </w:rPr>
        <w:t xml:space="preserve"> in </w:t>
      </w:r>
      <w:r w:rsidR="00374897" w:rsidRPr="0002646E">
        <w:rPr>
          <w:b/>
        </w:rPr>
        <w:t>CN</w:t>
      </w:r>
      <w:r w:rsidR="0002646E" w:rsidRPr="0002646E">
        <w:rPr>
          <w:b/>
        </w:rPr>
        <w:t>)</w:t>
      </w:r>
    </w:p>
    <w:p w14:paraId="074C4837" w14:textId="79E7ACCA" w:rsidR="00D20C09" w:rsidRPr="00E10A20" w:rsidRDefault="00D20C09" w:rsidP="00D20C09">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2.1</w:t>
      </w:r>
      <w:r w:rsidRPr="00E10A20">
        <w:rPr>
          <w:rFonts w:ascii="Arial" w:eastAsia="Malgun Gothic" w:hAnsi="Arial"/>
          <w:sz w:val="28"/>
          <w:lang w:eastAsia="de-DE"/>
        </w:rPr>
        <w:t>.</w:t>
      </w:r>
      <w:r w:rsidR="006B6B54">
        <w:rPr>
          <w:rFonts w:ascii="Arial" w:eastAsia="Malgun Gothic" w:hAnsi="Arial"/>
          <w:sz w:val="28"/>
          <w:lang w:eastAsia="de-DE"/>
        </w:rPr>
        <w:t>3</w:t>
      </w:r>
      <w:r w:rsidRPr="00E10A20">
        <w:rPr>
          <w:rFonts w:ascii="Arial" w:eastAsia="Malgun Gothic" w:hAnsi="Arial"/>
          <w:sz w:val="28"/>
          <w:lang w:eastAsia="de-DE"/>
        </w:rPr>
        <w:tab/>
      </w:r>
      <w:r w:rsidRPr="00D20C09">
        <w:rPr>
          <w:rFonts w:ascii="Arial" w:eastAsia="Malgun Gothic" w:hAnsi="Arial"/>
          <w:sz w:val="28"/>
          <w:lang w:eastAsia="de-DE"/>
        </w:rPr>
        <w:t>UE capability</w:t>
      </w:r>
    </w:p>
    <w:p w14:paraId="5592E231" w14:textId="4148700A" w:rsidR="00956DDA" w:rsidRDefault="00956DDA" w:rsidP="00045C75">
      <w:r>
        <w:t>As proposed above, the mobile IAB indication is always included in Msg5 for the mobile IAB-node, which is sufficient for the NW knowing the mobile IAB-MT UE type.</w:t>
      </w:r>
    </w:p>
    <w:p w14:paraId="45D8D050" w14:textId="7750D2E6" w:rsidR="00956DDA" w:rsidRDefault="00956DDA" w:rsidP="00045C75">
      <w:r>
        <w:rPr>
          <w:rFonts w:eastAsiaTheme="minorEastAsia" w:hint="eastAsia"/>
          <w:b/>
          <w:lang w:eastAsia="zh-CN"/>
        </w:rPr>
        <w:t>O</w:t>
      </w:r>
      <w:r>
        <w:rPr>
          <w:rFonts w:eastAsiaTheme="minorEastAsia"/>
          <w:b/>
          <w:lang w:eastAsia="zh-CN"/>
        </w:rPr>
        <w:t>bservation 2</w:t>
      </w:r>
      <w:r>
        <w:rPr>
          <w:rFonts w:eastAsiaTheme="minorEastAsia" w:hint="eastAsia"/>
          <w:b/>
          <w:lang w:eastAsia="zh-CN"/>
        </w:rPr>
        <w:t>:</w:t>
      </w:r>
      <w:r>
        <w:rPr>
          <w:rFonts w:eastAsiaTheme="minorEastAsia"/>
          <w:b/>
          <w:lang w:eastAsia="zh-CN"/>
        </w:rPr>
        <w:t xml:space="preserve"> </w:t>
      </w:r>
      <w:r w:rsidR="003939FF">
        <w:rPr>
          <w:rFonts w:eastAsiaTheme="minorEastAsia"/>
          <w:b/>
          <w:lang w:eastAsia="zh-CN"/>
        </w:rPr>
        <w:t>the network</w:t>
      </w:r>
      <w:r>
        <w:rPr>
          <w:rFonts w:eastAsiaTheme="minorEastAsia"/>
          <w:b/>
          <w:lang w:eastAsia="zh-CN"/>
        </w:rPr>
        <w:t xml:space="preserve"> can know the mobile IAB-MT UE type, since the </w:t>
      </w:r>
      <w:r w:rsidRPr="00AF7075">
        <w:rPr>
          <w:rFonts w:eastAsiaTheme="minorEastAsia"/>
          <w:b/>
          <w:lang w:eastAsia="zh-CN"/>
        </w:rPr>
        <w:t>Msg5 indication i</w:t>
      </w:r>
      <w:r w:rsidR="002C7B9D">
        <w:rPr>
          <w:rFonts w:eastAsiaTheme="minorEastAsia"/>
          <w:b/>
          <w:lang w:eastAsia="zh-CN"/>
        </w:rPr>
        <w:t>s always included for mobile IAB-MT</w:t>
      </w:r>
      <w:r w:rsidR="006E34E9">
        <w:t>.</w:t>
      </w:r>
    </w:p>
    <w:p w14:paraId="12FF1324" w14:textId="15EACCA5" w:rsidR="00956DDA" w:rsidRDefault="00E23893" w:rsidP="00045C75">
      <w:r>
        <w:t xml:space="preserve">Then, after checking all the mandatory legacy IAB-MT’s capabilities, we do not find any mobile IAB-MT specific capabilities needs to be </w:t>
      </w:r>
      <w:r w:rsidR="00660B56">
        <w:t>added</w:t>
      </w:r>
      <w:r>
        <w:t xml:space="preserve"> in Rel-18. Current capabilities are enough for the mobile IAB-MT. There is no </w:t>
      </w:r>
      <w:r w:rsidRPr="00E23893">
        <w:t xml:space="preserve">mobile IAB-MT specific behaviour/configuration in </w:t>
      </w:r>
      <w:r>
        <w:t xml:space="preserve">the </w:t>
      </w:r>
      <w:r w:rsidRPr="00E23893">
        <w:t>connect</w:t>
      </w:r>
      <w:r>
        <w:t>ed</w:t>
      </w:r>
      <w:r w:rsidRPr="00E23893">
        <w:t xml:space="preserve"> mode defined.</w:t>
      </w:r>
      <w:r>
        <w:t xml:space="preserve"> The mobile IAB specific behaviours are mainly DU related, e.g., whether to support DU migration. But that should not be reported by the IAB-MT’s UE capability. Such DU capability should be up to NW/OAM implementation, and should be RAN3 discussion.</w:t>
      </w:r>
    </w:p>
    <w:p w14:paraId="17E626A1" w14:textId="5A09CEA3" w:rsidR="00E23893" w:rsidRDefault="00E23893" w:rsidP="00E23893">
      <w:pPr>
        <w:rPr>
          <w:b/>
        </w:rPr>
      </w:pPr>
      <w:r w:rsidRPr="00F24B29">
        <w:rPr>
          <w:b/>
        </w:rPr>
        <w:t xml:space="preserve">Observation </w:t>
      </w:r>
      <w:r>
        <w:rPr>
          <w:b/>
        </w:rPr>
        <w:t>3</w:t>
      </w:r>
      <w:r w:rsidRPr="00F24B29">
        <w:rPr>
          <w:b/>
        </w:rPr>
        <w:t>: F</w:t>
      </w:r>
      <w:r w:rsidRPr="00744805">
        <w:rPr>
          <w:b/>
        </w:rPr>
        <w:t xml:space="preserve">rom </w:t>
      </w:r>
      <w:r w:rsidRPr="006F3864">
        <w:rPr>
          <w:b/>
        </w:rPr>
        <w:t>RAN2</w:t>
      </w:r>
      <w:r w:rsidRPr="00744805">
        <w:rPr>
          <w:b/>
        </w:rPr>
        <w:t xml:space="preserve"> perspective, there is </w:t>
      </w:r>
      <w:r w:rsidRPr="006F3864">
        <w:rPr>
          <w:b/>
        </w:rPr>
        <w:t>no mobile IAB-MT specific behaviour/configuration</w:t>
      </w:r>
      <w:r w:rsidRPr="00744805">
        <w:rPr>
          <w:b/>
        </w:rPr>
        <w:t xml:space="preserve"> in </w:t>
      </w:r>
      <w:r>
        <w:rPr>
          <w:b/>
        </w:rPr>
        <w:t xml:space="preserve">the </w:t>
      </w:r>
      <w:r w:rsidRPr="00744805">
        <w:rPr>
          <w:b/>
        </w:rPr>
        <w:t>connect</w:t>
      </w:r>
      <w:r>
        <w:rPr>
          <w:b/>
        </w:rPr>
        <w:t>ed</w:t>
      </w:r>
      <w:r w:rsidRPr="00744805">
        <w:rPr>
          <w:b/>
        </w:rPr>
        <w:t xml:space="preserve"> mode defined. Then, there is no point to introduce mobile IAB-MT specific capability, if there is no different IAB-MT behaviour.</w:t>
      </w:r>
    </w:p>
    <w:p w14:paraId="7364BD3C" w14:textId="77777777" w:rsidR="00E23893" w:rsidRPr="00F24B29" w:rsidRDefault="00E23893" w:rsidP="00E23893">
      <w:pPr>
        <w:rPr>
          <w:b/>
        </w:rPr>
      </w:pPr>
      <w:r>
        <w:rPr>
          <w:b/>
        </w:rPr>
        <w:lastRenderedPageBreak/>
        <w:t>Observation 4: The DU migration capability of mobile IAB-node can be NW/OAM implementation, since this is DU capability (it should be RAN3 discussion).</w:t>
      </w:r>
    </w:p>
    <w:p w14:paraId="0377D40A" w14:textId="3C363E51" w:rsidR="001A0A19" w:rsidRDefault="00D8268F" w:rsidP="00045C75">
      <w:r>
        <w:t>Furthermore, i</w:t>
      </w:r>
      <w:r w:rsidR="001A0A19" w:rsidRPr="001A0A19">
        <w:t>n the last RAN3 meeting, it was agreed</w:t>
      </w:r>
      <w:r w:rsidR="001A0A19">
        <w:t xml:space="preserve"> “</w:t>
      </w:r>
      <w:r w:rsidR="001A0A19" w:rsidRPr="001A0A19">
        <w:rPr>
          <w:color w:val="00B050"/>
        </w:rPr>
        <w:t xml:space="preserve">HO request for an mIAB-node should contain an </w:t>
      </w:r>
      <w:r w:rsidR="001A0A19" w:rsidRPr="001A0A19">
        <w:rPr>
          <w:color w:val="00B050"/>
          <w:highlight w:val="yellow"/>
        </w:rPr>
        <w:t>explicit indication related to mobile IAB</w:t>
      </w:r>
      <w:r w:rsidR="001A0A19" w:rsidRPr="001A0A19">
        <w:rPr>
          <w:color w:val="00B050"/>
        </w:rPr>
        <w:t>, where such indication is optional/reject. This indication is the mIAB authorization status (authorized/not-authorised). There is no need for defining any additional mIAB indication.</w:t>
      </w:r>
      <w:r w:rsidR="001A0A19">
        <w:t xml:space="preserve">” The explicit indication is included in HO REQUEST, and the target donor does not need to know the mobile IAB via capability. </w:t>
      </w:r>
      <w:r>
        <w:t>T</w:t>
      </w:r>
      <w:r w:rsidR="001A0A19">
        <w:t xml:space="preserve">here is no need to introduce an independent “mobile IAB-MT capability” in the </w:t>
      </w:r>
      <w:r w:rsidR="00174058">
        <w:t xml:space="preserve">RRC </w:t>
      </w:r>
      <w:r w:rsidR="001A0A19">
        <w:t>UE capability signalling.</w:t>
      </w:r>
    </w:p>
    <w:p w14:paraId="766EA6CD" w14:textId="08018E5C" w:rsidR="00045C75" w:rsidRPr="00045C75" w:rsidRDefault="00045C75" w:rsidP="00045C75">
      <w:pPr>
        <w:rPr>
          <w:b/>
        </w:rPr>
      </w:pPr>
      <w:r w:rsidRPr="00045C75">
        <w:rPr>
          <w:b/>
        </w:rPr>
        <w:t xml:space="preserve">Observation </w:t>
      </w:r>
      <w:r w:rsidR="00AF7075">
        <w:rPr>
          <w:b/>
        </w:rPr>
        <w:t>5</w:t>
      </w:r>
      <w:r w:rsidRPr="00045C75">
        <w:rPr>
          <w:b/>
        </w:rPr>
        <w:t xml:space="preserve">: RAN3 agreed the explicit </w:t>
      </w:r>
      <w:r w:rsidR="00174058">
        <w:rPr>
          <w:b/>
        </w:rPr>
        <w:t xml:space="preserve">mobile IAB indication in </w:t>
      </w:r>
      <w:r w:rsidRPr="00045C75">
        <w:rPr>
          <w:b/>
        </w:rPr>
        <w:t xml:space="preserve">Xn </w:t>
      </w:r>
      <w:r w:rsidR="00174058">
        <w:rPr>
          <w:b/>
        </w:rPr>
        <w:t xml:space="preserve">HO </w:t>
      </w:r>
      <w:r w:rsidRPr="00045C75">
        <w:rPr>
          <w:b/>
        </w:rPr>
        <w:t>signa</w:t>
      </w:r>
      <w:r w:rsidR="00174058">
        <w:rPr>
          <w:b/>
        </w:rPr>
        <w:t>lling</w:t>
      </w:r>
      <w:r w:rsidR="00F37A56">
        <w:rPr>
          <w:b/>
        </w:rPr>
        <w:t xml:space="preserve">, not requiring any </w:t>
      </w:r>
      <w:r w:rsidR="0078443B">
        <w:rPr>
          <w:b/>
        </w:rPr>
        <w:t>UE capability signalling to indicate the mobile IAB</w:t>
      </w:r>
      <w:r w:rsidR="001A0A19">
        <w:rPr>
          <w:b/>
        </w:rPr>
        <w:t>.</w:t>
      </w:r>
    </w:p>
    <w:p w14:paraId="21A0699C" w14:textId="546FB780" w:rsidR="00E23893" w:rsidRPr="00101B1E" w:rsidRDefault="00E23893" w:rsidP="00045C75">
      <w:r w:rsidRPr="00101B1E">
        <w:t>Based on the observation</w:t>
      </w:r>
      <w:r>
        <w:t>s</w:t>
      </w:r>
      <w:r w:rsidRPr="00101B1E">
        <w:t xml:space="preserve"> above, it is proposed</w:t>
      </w:r>
      <w:r w:rsidRPr="00101B1E">
        <w:rPr>
          <w:rFonts w:eastAsiaTheme="minorEastAsia"/>
          <w:lang w:eastAsia="zh-CN"/>
        </w:rPr>
        <w:t xml:space="preserve">: </w:t>
      </w:r>
    </w:p>
    <w:p w14:paraId="0F20D3B1" w14:textId="6A5CAEB2" w:rsidR="0002646E" w:rsidRDefault="00045C75" w:rsidP="00045C75">
      <w:pPr>
        <w:rPr>
          <w:b/>
        </w:rPr>
      </w:pPr>
      <w:r w:rsidRPr="00045C75">
        <w:rPr>
          <w:b/>
        </w:rPr>
        <w:t xml:space="preserve">Proposal </w:t>
      </w:r>
      <w:r w:rsidR="00042421">
        <w:rPr>
          <w:b/>
        </w:rPr>
        <w:t>4</w:t>
      </w:r>
      <w:r w:rsidRPr="00045C75">
        <w:rPr>
          <w:b/>
        </w:rPr>
        <w:t xml:space="preserve">: </w:t>
      </w:r>
      <w:r w:rsidR="00B6701F">
        <w:rPr>
          <w:b/>
        </w:rPr>
        <w:t>D</w:t>
      </w:r>
      <w:r w:rsidRPr="00045C75">
        <w:rPr>
          <w:b/>
        </w:rPr>
        <w:t>o not introduce “mobile IAB-MT capability” in the UE capability signalling.</w:t>
      </w:r>
    </w:p>
    <w:p w14:paraId="6AC4257C" w14:textId="2E5C0466" w:rsidR="00D20C09" w:rsidRDefault="00D20C09" w:rsidP="00D20C09">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2.2</w:t>
      </w:r>
      <w:r w:rsidRPr="00D92FCA">
        <w:rPr>
          <w:rFonts w:ascii="Arial" w:eastAsia="Malgun Gothic" w:hAnsi="Arial"/>
          <w:sz w:val="32"/>
          <w:lang w:eastAsia="de-DE"/>
        </w:rPr>
        <w:tab/>
      </w:r>
      <w:r>
        <w:rPr>
          <w:rFonts w:ascii="Arial" w:eastAsia="Malgun Gothic" w:hAnsi="Arial"/>
          <w:sz w:val="32"/>
          <w:lang w:eastAsia="de-DE"/>
        </w:rPr>
        <w:t>Time-based CHO</w:t>
      </w:r>
    </w:p>
    <w:p w14:paraId="18799811" w14:textId="77777777" w:rsidR="001A0A19" w:rsidRDefault="001A0A19" w:rsidP="001A0A19">
      <w:pPr>
        <w:rPr>
          <w:rFonts w:eastAsia="宋体"/>
        </w:rPr>
      </w:pPr>
      <w:r>
        <w:rPr>
          <w:rFonts w:eastAsia="宋体"/>
        </w:rPr>
        <w:t>This issue is to discuss whether to support CHO with CondT1 in mobile IAB.</w:t>
      </w:r>
    </w:p>
    <w:p w14:paraId="0BCB8FC8" w14:textId="77777777" w:rsidR="001A0A19" w:rsidRDefault="001A0A19" w:rsidP="001A0A19">
      <w:pPr>
        <w:rPr>
          <w:rFonts w:eastAsia="宋体"/>
        </w:rPr>
      </w:pPr>
      <w:r>
        <w:rPr>
          <w:rFonts w:eastAsia="宋体"/>
        </w:rPr>
        <w:t>The CondT1 is introduced in NTN, because the satellite movement is deterministic. The time of the appearance of the target cell and the disappearance of the source cell are deterministic. But in mobile IAB’s DU migration scenario, the time for executing the handover is unpredictable.</w:t>
      </w:r>
    </w:p>
    <w:p w14:paraId="1B57A9B3" w14:textId="75EC49EF" w:rsidR="001A0A19" w:rsidRDefault="001A0A19" w:rsidP="001A0A19">
      <w:pPr>
        <w:rPr>
          <w:rFonts w:eastAsia="宋体"/>
          <w:b/>
        </w:rPr>
      </w:pPr>
      <w:r w:rsidRPr="00D36337">
        <w:rPr>
          <w:rFonts w:eastAsia="宋体"/>
          <w:b/>
        </w:rPr>
        <w:t xml:space="preserve">Observation </w:t>
      </w:r>
      <w:r w:rsidR="000F3890">
        <w:rPr>
          <w:rFonts w:eastAsia="宋体"/>
          <w:b/>
        </w:rPr>
        <w:t>6a</w:t>
      </w:r>
      <w:r w:rsidRPr="00D36337">
        <w:rPr>
          <w:rFonts w:eastAsia="宋体"/>
          <w:b/>
        </w:rPr>
        <w:t>: The exact time to perform group UE mobility (i.e. t1-Threshold) is not predicable in mobile IAB scenario (i.e. the time of target DU setup), unlike NTN.</w:t>
      </w:r>
    </w:p>
    <w:p w14:paraId="0D15FACB" w14:textId="77777777" w:rsidR="001A0A19" w:rsidRDefault="001A0A19" w:rsidP="001A0A19">
      <w:pPr>
        <w:rPr>
          <w:rFonts w:eastAsia="宋体"/>
        </w:rPr>
      </w:pPr>
      <w:r w:rsidRPr="007D58F9">
        <w:rPr>
          <w:rFonts w:eastAsia="宋体"/>
        </w:rPr>
        <w:t xml:space="preserve">In NTN, the time-based trigger condition </w:t>
      </w:r>
      <w:r>
        <w:rPr>
          <w:rFonts w:eastAsia="宋体"/>
        </w:rPr>
        <w:t>must be</w:t>
      </w:r>
      <w:r w:rsidRPr="007D58F9">
        <w:rPr>
          <w:rFonts w:eastAsia="宋体"/>
        </w:rPr>
        <w:t xml:space="preserve"> configured together with one of the measurement-based trigger conditions, as specified in TS 38.300 and TS 38.331. </w:t>
      </w:r>
      <w:r>
        <w:rPr>
          <w:rFonts w:eastAsia="宋体"/>
        </w:rPr>
        <w:t xml:space="preserve">Due to the large coverage of the NTN cell, the HO in NTN usually happens before the edge UEs’ RSRP becoming apparently worse, i.e., before the A3/A5 event happens. Therefore, CondT1 + A4 event based CHO trigger is introduced to let the UEs handover when the time is up and the neighbour cell appears. But in mobile IAB, the implementation can make A3/A5 event happen whenever it is needed. </w:t>
      </w:r>
      <w:r w:rsidRPr="007D58F9">
        <w:rPr>
          <w:rFonts w:eastAsia="宋体"/>
        </w:rPr>
        <w:t>There is no case where the network intends to switch the UE but A3/A5 cannot be reached.</w:t>
      </w:r>
    </w:p>
    <w:p w14:paraId="1F42EB28" w14:textId="3A7F1930" w:rsidR="001A0A19" w:rsidRPr="00F72B48" w:rsidRDefault="001A0A19" w:rsidP="001A0A19">
      <w:pPr>
        <w:rPr>
          <w:rFonts w:eastAsia="宋体"/>
          <w:b/>
        </w:rPr>
      </w:pPr>
      <w:r w:rsidRPr="00D36337">
        <w:rPr>
          <w:rFonts w:eastAsia="宋体"/>
          <w:b/>
        </w:rPr>
        <w:t xml:space="preserve">Observation </w:t>
      </w:r>
      <w:r w:rsidR="000F3890">
        <w:rPr>
          <w:rFonts w:eastAsia="宋体"/>
          <w:b/>
        </w:rPr>
        <w:t>6b</w:t>
      </w:r>
      <w:r w:rsidRPr="00D36337">
        <w:rPr>
          <w:rFonts w:eastAsia="宋体"/>
          <w:b/>
        </w:rPr>
        <w:t xml:space="preserve">: In NTN, CondT1 is always configured together with </w:t>
      </w:r>
      <w:r w:rsidRPr="00D52BB6">
        <w:rPr>
          <w:rFonts w:eastAsia="宋体"/>
          <w:b/>
        </w:rPr>
        <w:t>measurement-based trigger</w:t>
      </w:r>
      <w:r w:rsidRPr="00D36337">
        <w:rPr>
          <w:rFonts w:eastAsia="宋体"/>
          <w:b/>
        </w:rPr>
        <w:t>. But</w:t>
      </w:r>
      <w:r>
        <w:rPr>
          <w:rFonts w:eastAsia="宋体"/>
          <w:b/>
        </w:rPr>
        <w:t xml:space="preserve"> in mobile IAB DU migration scenario</w:t>
      </w:r>
      <w:r w:rsidRPr="00D36337">
        <w:rPr>
          <w:rFonts w:eastAsia="宋体"/>
          <w:b/>
        </w:rPr>
        <w:t xml:space="preserve">, if </w:t>
      </w:r>
      <w:r>
        <w:rPr>
          <w:rFonts w:eastAsia="宋体"/>
          <w:b/>
        </w:rPr>
        <w:t>event</w:t>
      </w:r>
      <w:r w:rsidRPr="00D36337">
        <w:rPr>
          <w:rFonts w:eastAsia="宋体"/>
          <w:b/>
        </w:rPr>
        <w:t xml:space="preserve"> A3/</w:t>
      </w:r>
      <w:r>
        <w:rPr>
          <w:rFonts w:eastAsia="宋体"/>
          <w:b/>
        </w:rPr>
        <w:t>A</w:t>
      </w:r>
      <w:r w:rsidRPr="00D36337">
        <w:rPr>
          <w:rFonts w:eastAsia="宋体"/>
          <w:b/>
        </w:rPr>
        <w:t xml:space="preserve">5 </w:t>
      </w:r>
      <w:r>
        <w:rPr>
          <w:rFonts w:eastAsia="宋体"/>
          <w:b/>
        </w:rPr>
        <w:t>is</w:t>
      </w:r>
      <w:r w:rsidRPr="00D36337">
        <w:rPr>
          <w:rFonts w:eastAsia="宋体"/>
          <w:b/>
        </w:rPr>
        <w:t xml:space="preserve"> configured, </w:t>
      </w:r>
      <w:r>
        <w:rPr>
          <w:rFonts w:eastAsia="宋体"/>
          <w:b/>
        </w:rPr>
        <w:t>Cond</w:t>
      </w:r>
      <w:r w:rsidRPr="00D36337">
        <w:rPr>
          <w:rFonts w:eastAsia="宋体"/>
          <w:b/>
        </w:rPr>
        <w:t xml:space="preserve">T1 does not help additionally. </w:t>
      </w:r>
    </w:p>
    <w:p w14:paraId="654413DA" w14:textId="05687948" w:rsidR="001A0A19" w:rsidRDefault="001A0A19" w:rsidP="001A0A19">
      <w:pPr>
        <w:rPr>
          <w:rFonts w:eastAsia="宋体"/>
        </w:rPr>
      </w:pPr>
      <w:r>
        <w:rPr>
          <w:rFonts w:eastAsia="宋体"/>
        </w:rPr>
        <w:t>Furthermore, another TN topic NES also agreed not to introduce the time-based CHO trigger. The agreement is listed as follows:</w:t>
      </w:r>
    </w:p>
    <w:p w14:paraId="7FBA867B" w14:textId="77777777" w:rsidR="001A0A19" w:rsidRPr="001A0A19" w:rsidRDefault="001A0A19" w:rsidP="001A0A19">
      <w:pPr>
        <w:pStyle w:val="af8"/>
        <w:numPr>
          <w:ilvl w:val="0"/>
          <w:numId w:val="23"/>
        </w:numPr>
        <w:spacing w:after="100" w:afterAutospacing="1" w:line="300" w:lineRule="auto"/>
        <w:jc w:val="both"/>
        <w:rPr>
          <w:rFonts w:ascii="Times New Roman" w:eastAsia="Symbol" w:hAnsi="Times New Roman"/>
          <w:i/>
          <w:sz w:val="20"/>
          <w:szCs w:val="20"/>
          <w:lang w:eastAsia="en-US"/>
        </w:rPr>
      </w:pPr>
      <w:r w:rsidRPr="001A0A19">
        <w:rPr>
          <w:rFonts w:ascii="Times New Roman" w:eastAsia="Symbol" w:hAnsi="Times New Roman"/>
          <w:i/>
          <w:sz w:val="20"/>
          <w:szCs w:val="20"/>
          <w:lang w:eastAsia="en-US"/>
        </w:rPr>
        <w:t>(At least for cell DTX/DRX) Time-based CHO is not to be considered in NES.</w:t>
      </w:r>
    </w:p>
    <w:p w14:paraId="31C6194A" w14:textId="52E8507E" w:rsidR="001A0A19" w:rsidRDefault="001A0A19" w:rsidP="001A0A19">
      <w:pPr>
        <w:rPr>
          <w:rFonts w:eastAsia="宋体"/>
        </w:rPr>
      </w:pPr>
      <w:r w:rsidRPr="00D36337">
        <w:rPr>
          <w:rFonts w:eastAsia="宋体"/>
          <w:b/>
        </w:rPr>
        <w:t xml:space="preserve">Observation </w:t>
      </w:r>
      <w:r w:rsidR="000F3890">
        <w:rPr>
          <w:rFonts w:eastAsia="宋体"/>
          <w:b/>
        </w:rPr>
        <w:t>6c</w:t>
      </w:r>
      <w:r w:rsidRPr="00D36337">
        <w:rPr>
          <w:rFonts w:eastAsia="宋体"/>
          <w:b/>
        </w:rPr>
        <w:t xml:space="preserve">: </w:t>
      </w:r>
      <w:r>
        <w:rPr>
          <w:rFonts w:eastAsia="宋体"/>
          <w:b/>
        </w:rPr>
        <w:t>NES excludes the time based CHO.</w:t>
      </w:r>
    </w:p>
    <w:p w14:paraId="17C5086C" w14:textId="77777777" w:rsidR="001A0A19" w:rsidRDefault="001A0A19" w:rsidP="001A0A19">
      <w:pPr>
        <w:rPr>
          <w:rFonts w:eastAsia="宋体"/>
        </w:rPr>
      </w:pPr>
      <w:r w:rsidRPr="001C55EE">
        <w:rPr>
          <w:rFonts w:eastAsia="宋体"/>
        </w:rPr>
        <w:t xml:space="preserve">Based on the observations above, </w:t>
      </w:r>
      <w:r>
        <w:rPr>
          <w:rFonts w:eastAsia="宋体"/>
        </w:rPr>
        <w:t>we don’t see the need of introducing the CondT1 for CHO in mobile IAB. We propose:</w:t>
      </w:r>
    </w:p>
    <w:p w14:paraId="6E198AFC" w14:textId="4ECCFDEF" w:rsidR="00D20C09" w:rsidRPr="002C1599" w:rsidRDefault="001A0A19" w:rsidP="00045C75">
      <w:pPr>
        <w:rPr>
          <w:rFonts w:eastAsia="宋体"/>
          <w:b/>
        </w:rPr>
      </w:pPr>
      <w:r w:rsidRPr="00673C52">
        <w:rPr>
          <w:rFonts w:eastAsia="宋体"/>
          <w:b/>
        </w:rPr>
        <w:t xml:space="preserve">Proposal </w:t>
      </w:r>
      <w:r w:rsidR="000F3890">
        <w:rPr>
          <w:rFonts w:eastAsia="宋体"/>
          <w:b/>
        </w:rPr>
        <w:t>5</w:t>
      </w:r>
      <w:r w:rsidRPr="00673C52">
        <w:rPr>
          <w:rFonts w:eastAsia="宋体"/>
          <w:b/>
        </w:rPr>
        <w:t xml:space="preserve">: </w:t>
      </w:r>
      <w:r w:rsidR="00AE6249">
        <w:rPr>
          <w:b/>
        </w:rPr>
        <w:t>D</w:t>
      </w:r>
      <w:r w:rsidR="00AE6249" w:rsidRPr="00045C75">
        <w:rPr>
          <w:b/>
        </w:rPr>
        <w:t>o not i</w:t>
      </w:r>
      <w:r>
        <w:rPr>
          <w:rFonts w:eastAsia="宋体"/>
          <w:b/>
        </w:rPr>
        <w:t>ntroduce CondT1 for CHO in mobile IAB</w:t>
      </w:r>
      <w:r w:rsidRPr="007D58F9">
        <w:rPr>
          <w:rFonts w:eastAsia="宋体"/>
          <w:b/>
        </w:rPr>
        <w:t>.</w:t>
      </w:r>
    </w:p>
    <w:bookmarkEnd w:id="4"/>
    <w:bookmarkEnd w:id="5"/>
    <w:bookmarkEnd w:id="6"/>
    <w:p w14:paraId="088961FA" w14:textId="15E0A5E1"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54841F48" w:rsidR="00405D72" w:rsidRDefault="001A0A19" w:rsidP="00405D72">
      <w:r>
        <w:t>This contribution provides our views on the mobile IAB-node operating as Rel-16/17 IAB-node, and on the time-based CHO</w:t>
      </w:r>
      <w:r w:rsidR="004372AD">
        <w:t>. It is observed and proposed:</w:t>
      </w:r>
    </w:p>
    <w:p w14:paraId="54263DCA" w14:textId="77777777" w:rsidR="002F74A6" w:rsidRDefault="002F74A6" w:rsidP="002F74A6">
      <w:pPr>
        <w:rPr>
          <w:b/>
        </w:rPr>
      </w:pPr>
      <w:r>
        <w:rPr>
          <w:b/>
        </w:rPr>
        <w:t>Observation 1</w:t>
      </w:r>
      <w:r w:rsidRPr="0002646E">
        <w:rPr>
          <w:b/>
        </w:rPr>
        <w:t xml:space="preserve">: If mobile IAB authorization fails, </w:t>
      </w:r>
      <w:r>
        <w:rPr>
          <w:b/>
        </w:rPr>
        <w:t xml:space="preserve">the </w:t>
      </w:r>
      <w:r w:rsidRPr="0002646E">
        <w:rPr>
          <w:b/>
        </w:rPr>
        <w:t xml:space="preserve">IAB node may switch the mode back to legacy IAB-node by implementation to request connection again. </w:t>
      </w:r>
    </w:p>
    <w:p w14:paraId="5A1D479F" w14:textId="77777777" w:rsidR="002F74A6" w:rsidRDefault="002F74A6" w:rsidP="002F74A6">
      <w:r>
        <w:rPr>
          <w:rFonts w:eastAsiaTheme="minorEastAsia" w:hint="eastAsia"/>
          <w:b/>
          <w:lang w:eastAsia="zh-CN"/>
        </w:rPr>
        <w:t>O</w:t>
      </w:r>
      <w:r>
        <w:rPr>
          <w:rFonts w:eastAsiaTheme="minorEastAsia"/>
          <w:b/>
          <w:lang w:eastAsia="zh-CN"/>
        </w:rPr>
        <w:t>bservation 2</w:t>
      </w:r>
      <w:r>
        <w:rPr>
          <w:rFonts w:eastAsiaTheme="minorEastAsia" w:hint="eastAsia"/>
          <w:b/>
          <w:lang w:eastAsia="zh-CN"/>
        </w:rPr>
        <w:t>:</w:t>
      </w:r>
      <w:r>
        <w:rPr>
          <w:rFonts w:eastAsiaTheme="minorEastAsia"/>
          <w:b/>
          <w:lang w:eastAsia="zh-CN"/>
        </w:rPr>
        <w:t xml:space="preserve"> </w:t>
      </w:r>
      <w:r>
        <w:rPr>
          <w:rFonts w:eastAsiaTheme="minorEastAsia"/>
          <w:b/>
          <w:lang w:eastAsia="zh-CN"/>
        </w:rPr>
        <w:t>the network</w:t>
      </w:r>
      <w:r>
        <w:rPr>
          <w:rFonts w:eastAsiaTheme="minorEastAsia"/>
          <w:b/>
          <w:lang w:eastAsia="zh-CN"/>
        </w:rPr>
        <w:t xml:space="preserve"> can know the mobile IAB-MT UE type, since the </w:t>
      </w:r>
      <w:r w:rsidRPr="00AF7075">
        <w:rPr>
          <w:rFonts w:eastAsiaTheme="minorEastAsia"/>
          <w:b/>
          <w:lang w:eastAsia="zh-CN"/>
        </w:rPr>
        <w:t>Msg5 indication i</w:t>
      </w:r>
      <w:r>
        <w:rPr>
          <w:rFonts w:eastAsiaTheme="minorEastAsia"/>
          <w:b/>
          <w:lang w:eastAsia="zh-CN"/>
        </w:rPr>
        <w:t>s always included for mobile IAB-MT</w:t>
      </w:r>
      <w:r>
        <w:t>.</w:t>
      </w:r>
    </w:p>
    <w:p w14:paraId="3051856A" w14:textId="77777777" w:rsidR="002F74A6" w:rsidRDefault="002F74A6" w:rsidP="002F74A6">
      <w:pPr>
        <w:rPr>
          <w:b/>
        </w:rPr>
      </w:pPr>
      <w:r w:rsidRPr="00F24B29">
        <w:rPr>
          <w:b/>
        </w:rPr>
        <w:lastRenderedPageBreak/>
        <w:t xml:space="preserve">Observation </w:t>
      </w:r>
      <w:r>
        <w:rPr>
          <w:b/>
        </w:rPr>
        <w:t>3</w:t>
      </w:r>
      <w:r w:rsidRPr="00F24B29">
        <w:rPr>
          <w:b/>
        </w:rPr>
        <w:t>: F</w:t>
      </w:r>
      <w:r w:rsidRPr="00744805">
        <w:rPr>
          <w:b/>
        </w:rPr>
        <w:t xml:space="preserve">rom </w:t>
      </w:r>
      <w:r w:rsidRPr="006F3864">
        <w:rPr>
          <w:b/>
        </w:rPr>
        <w:t>RAN2</w:t>
      </w:r>
      <w:r w:rsidRPr="00744805">
        <w:rPr>
          <w:b/>
        </w:rPr>
        <w:t xml:space="preserve"> perspective, there is </w:t>
      </w:r>
      <w:r w:rsidRPr="006F3864">
        <w:rPr>
          <w:b/>
        </w:rPr>
        <w:t>no mobile IAB-MT specific behaviour/configuration</w:t>
      </w:r>
      <w:r w:rsidRPr="00744805">
        <w:rPr>
          <w:b/>
        </w:rPr>
        <w:t xml:space="preserve"> in </w:t>
      </w:r>
      <w:r>
        <w:rPr>
          <w:b/>
        </w:rPr>
        <w:t xml:space="preserve">the </w:t>
      </w:r>
      <w:r w:rsidRPr="00744805">
        <w:rPr>
          <w:b/>
        </w:rPr>
        <w:t>connect</w:t>
      </w:r>
      <w:r>
        <w:rPr>
          <w:b/>
        </w:rPr>
        <w:t>ed</w:t>
      </w:r>
      <w:r w:rsidRPr="00744805">
        <w:rPr>
          <w:b/>
        </w:rPr>
        <w:t xml:space="preserve"> mode defined. Then, there is no point to introduce mobile IAB-MT specific capability, if there is no different IAB-MT behaviour.</w:t>
      </w:r>
    </w:p>
    <w:p w14:paraId="42780781" w14:textId="77777777" w:rsidR="002F74A6" w:rsidRPr="00F24B29" w:rsidRDefault="002F74A6" w:rsidP="002F74A6">
      <w:pPr>
        <w:rPr>
          <w:b/>
        </w:rPr>
      </w:pPr>
      <w:r>
        <w:rPr>
          <w:b/>
        </w:rPr>
        <w:t>Observation 4: The DU migration capability of mobile IAB-node can be NW/OAM implementation, since this is DU capability (it should be RAN3 discussion).</w:t>
      </w:r>
    </w:p>
    <w:p w14:paraId="11C4AB18" w14:textId="77777777" w:rsidR="002F74A6" w:rsidRPr="00045C75" w:rsidRDefault="002F74A6" w:rsidP="002F74A6">
      <w:pPr>
        <w:rPr>
          <w:b/>
        </w:rPr>
      </w:pPr>
      <w:r w:rsidRPr="00045C75">
        <w:rPr>
          <w:b/>
        </w:rPr>
        <w:t xml:space="preserve">Observation </w:t>
      </w:r>
      <w:r>
        <w:rPr>
          <w:b/>
        </w:rPr>
        <w:t>5</w:t>
      </w:r>
      <w:r w:rsidRPr="00045C75">
        <w:rPr>
          <w:b/>
        </w:rPr>
        <w:t xml:space="preserve">: RAN3 agreed the explicit </w:t>
      </w:r>
      <w:r>
        <w:rPr>
          <w:b/>
        </w:rPr>
        <w:t xml:space="preserve">mobile IAB indication in </w:t>
      </w:r>
      <w:r w:rsidRPr="00045C75">
        <w:rPr>
          <w:b/>
        </w:rPr>
        <w:t xml:space="preserve">Xn </w:t>
      </w:r>
      <w:r>
        <w:rPr>
          <w:b/>
        </w:rPr>
        <w:t xml:space="preserve">HO </w:t>
      </w:r>
      <w:r w:rsidRPr="00045C75">
        <w:rPr>
          <w:b/>
        </w:rPr>
        <w:t>signa</w:t>
      </w:r>
      <w:r>
        <w:rPr>
          <w:b/>
        </w:rPr>
        <w:t>lling, not requiring any UE capability signalling to indicate the mobile IAB.</w:t>
      </w:r>
    </w:p>
    <w:p w14:paraId="40E47948" w14:textId="77777777" w:rsidR="002F74A6" w:rsidRDefault="002F74A6" w:rsidP="002F74A6">
      <w:pPr>
        <w:rPr>
          <w:rFonts w:eastAsia="宋体"/>
          <w:b/>
        </w:rPr>
      </w:pPr>
      <w:r w:rsidRPr="00D36337">
        <w:rPr>
          <w:rFonts w:eastAsia="宋体"/>
          <w:b/>
        </w:rPr>
        <w:t xml:space="preserve">Observation </w:t>
      </w:r>
      <w:r>
        <w:rPr>
          <w:rFonts w:eastAsia="宋体"/>
          <w:b/>
        </w:rPr>
        <w:t>6a</w:t>
      </w:r>
      <w:r w:rsidRPr="00D36337">
        <w:rPr>
          <w:rFonts w:eastAsia="宋体"/>
          <w:b/>
        </w:rPr>
        <w:t>: The exact time to perform group UE mobility (i.e. t1-Threshold) is not predicable in mobile IAB scenario (i.e. the time of target DU setup), unlike NTN.</w:t>
      </w:r>
    </w:p>
    <w:p w14:paraId="180D9687" w14:textId="77777777" w:rsidR="002F74A6" w:rsidRPr="00F72B48" w:rsidRDefault="002F74A6" w:rsidP="002F74A6">
      <w:pPr>
        <w:rPr>
          <w:rFonts w:eastAsia="宋体"/>
          <w:b/>
        </w:rPr>
      </w:pPr>
      <w:r w:rsidRPr="00D36337">
        <w:rPr>
          <w:rFonts w:eastAsia="宋体"/>
          <w:b/>
        </w:rPr>
        <w:t xml:space="preserve">Observation </w:t>
      </w:r>
      <w:r>
        <w:rPr>
          <w:rFonts w:eastAsia="宋体"/>
          <w:b/>
        </w:rPr>
        <w:t>6b</w:t>
      </w:r>
      <w:r w:rsidRPr="00D36337">
        <w:rPr>
          <w:rFonts w:eastAsia="宋体"/>
          <w:b/>
        </w:rPr>
        <w:t xml:space="preserve">: In NTN, CondT1 is always configured together with </w:t>
      </w:r>
      <w:r w:rsidRPr="00D52BB6">
        <w:rPr>
          <w:rFonts w:eastAsia="宋体"/>
          <w:b/>
        </w:rPr>
        <w:t>measurement-based trigger</w:t>
      </w:r>
      <w:r w:rsidRPr="00D36337">
        <w:rPr>
          <w:rFonts w:eastAsia="宋体"/>
          <w:b/>
        </w:rPr>
        <w:t>. But</w:t>
      </w:r>
      <w:r>
        <w:rPr>
          <w:rFonts w:eastAsia="宋体"/>
          <w:b/>
        </w:rPr>
        <w:t xml:space="preserve"> in mobile IAB DU migration scenario</w:t>
      </w:r>
      <w:r w:rsidRPr="00D36337">
        <w:rPr>
          <w:rFonts w:eastAsia="宋体"/>
          <w:b/>
        </w:rPr>
        <w:t xml:space="preserve">, if </w:t>
      </w:r>
      <w:r>
        <w:rPr>
          <w:rFonts w:eastAsia="宋体"/>
          <w:b/>
        </w:rPr>
        <w:t>event</w:t>
      </w:r>
      <w:r w:rsidRPr="00D36337">
        <w:rPr>
          <w:rFonts w:eastAsia="宋体"/>
          <w:b/>
        </w:rPr>
        <w:t xml:space="preserve"> A3/</w:t>
      </w:r>
      <w:r>
        <w:rPr>
          <w:rFonts w:eastAsia="宋体"/>
          <w:b/>
        </w:rPr>
        <w:t>A</w:t>
      </w:r>
      <w:r w:rsidRPr="00D36337">
        <w:rPr>
          <w:rFonts w:eastAsia="宋体"/>
          <w:b/>
        </w:rPr>
        <w:t xml:space="preserve">5 </w:t>
      </w:r>
      <w:r>
        <w:rPr>
          <w:rFonts w:eastAsia="宋体"/>
          <w:b/>
        </w:rPr>
        <w:t>is</w:t>
      </w:r>
      <w:r w:rsidRPr="00D36337">
        <w:rPr>
          <w:rFonts w:eastAsia="宋体"/>
          <w:b/>
        </w:rPr>
        <w:t xml:space="preserve"> configured, </w:t>
      </w:r>
      <w:r>
        <w:rPr>
          <w:rFonts w:eastAsia="宋体"/>
          <w:b/>
        </w:rPr>
        <w:t>Cond</w:t>
      </w:r>
      <w:r w:rsidRPr="00D36337">
        <w:rPr>
          <w:rFonts w:eastAsia="宋体"/>
          <w:b/>
        </w:rPr>
        <w:t xml:space="preserve">T1 does not help additionally. </w:t>
      </w:r>
    </w:p>
    <w:p w14:paraId="5C546493" w14:textId="77777777" w:rsidR="002F74A6" w:rsidRDefault="002F74A6" w:rsidP="002F74A6">
      <w:pPr>
        <w:rPr>
          <w:rFonts w:eastAsia="宋体"/>
        </w:rPr>
      </w:pPr>
      <w:r w:rsidRPr="00D36337">
        <w:rPr>
          <w:rFonts w:eastAsia="宋体"/>
          <w:b/>
        </w:rPr>
        <w:t xml:space="preserve">Observation </w:t>
      </w:r>
      <w:r>
        <w:rPr>
          <w:rFonts w:eastAsia="宋体"/>
          <w:b/>
        </w:rPr>
        <w:t>6c</w:t>
      </w:r>
      <w:r w:rsidRPr="00D36337">
        <w:rPr>
          <w:rFonts w:eastAsia="宋体"/>
          <w:b/>
        </w:rPr>
        <w:t xml:space="preserve">: </w:t>
      </w:r>
      <w:r>
        <w:rPr>
          <w:rFonts w:eastAsia="宋体"/>
          <w:b/>
        </w:rPr>
        <w:t>NES excludes the time based CHO.</w:t>
      </w:r>
    </w:p>
    <w:p w14:paraId="1D622701" w14:textId="77777777" w:rsidR="004231E0" w:rsidRDefault="004231E0" w:rsidP="001A0A19">
      <w:pPr>
        <w:rPr>
          <w:i/>
          <w:color w:val="FF0000"/>
          <w:u w:val="single"/>
        </w:rPr>
      </w:pPr>
    </w:p>
    <w:p w14:paraId="596E9BAD" w14:textId="706C6756" w:rsidR="001A0A19" w:rsidRPr="001A0A19" w:rsidRDefault="001A0A19" w:rsidP="001A0A19">
      <w:pPr>
        <w:rPr>
          <w:i/>
          <w:color w:val="FF0000"/>
          <w:u w:val="single"/>
        </w:rPr>
      </w:pPr>
      <w:bookmarkStart w:id="7" w:name="_GoBack"/>
      <w:bookmarkEnd w:id="7"/>
      <w:r w:rsidRPr="001A0A19">
        <w:rPr>
          <w:i/>
          <w:color w:val="FF0000"/>
          <w:u w:val="single"/>
        </w:rPr>
        <w:t>General</w:t>
      </w:r>
      <w:r w:rsidR="006E34E9">
        <w:rPr>
          <w:i/>
          <w:color w:val="FF0000"/>
          <w:u w:val="single"/>
        </w:rPr>
        <w:t xml:space="preserve"> and (m)IAB-support indication</w:t>
      </w:r>
      <w:r>
        <w:rPr>
          <w:i/>
          <w:color w:val="FF0000"/>
          <w:u w:val="single"/>
        </w:rPr>
        <w:t>:</w:t>
      </w:r>
    </w:p>
    <w:p w14:paraId="3DC2D28C" w14:textId="77777777" w:rsidR="00F952D5" w:rsidRPr="00101B1E" w:rsidRDefault="00F952D5" w:rsidP="00F952D5">
      <w:pPr>
        <w:rPr>
          <w:b/>
        </w:rPr>
      </w:pPr>
      <w:r w:rsidRPr="00CF7D47">
        <w:rPr>
          <w:b/>
        </w:rPr>
        <w:t xml:space="preserve">Proposal </w:t>
      </w:r>
      <w:r>
        <w:rPr>
          <w:b/>
        </w:rPr>
        <w:t>1a</w:t>
      </w:r>
      <w:r w:rsidRPr="00CF7D47">
        <w:rPr>
          <w:b/>
        </w:rPr>
        <w:t xml:space="preserve">: </w:t>
      </w:r>
      <w:r>
        <w:rPr>
          <w:b/>
        </w:rPr>
        <w:t>M</w:t>
      </w:r>
      <w:r w:rsidRPr="00CF7D47">
        <w:rPr>
          <w:b/>
        </w:rPr>
        <w:t xml:space="preserve">obile IAB-node </w:t>
      </w:r>
      <w:r>
        <w:rPr>
          <w:b/>
        </w:rPr>
        <w:t xml:space="preserve">device </w:t>
      </w:r>
      <w:r w:rsidRPr="00CF7D47">
        <w:rPr>
          <w:b/>
        </w:rPr>
        <w:t>can operate/act as legacy IAB-nod</w:t>
      </w:r>
      <w:r>
        <w:rPr>
          <w:b/>
        </w:rPr>
        <w:t>e under the legacy donor/cell</w:t>
      </w:r>
      <w:r w:rsidRPr="00CF7D47">
        <w:rPr>
          <w:b/>
        </w:rPr>
        <w:t xml:space="preserve">, </w:t>
      </w:r>
      <w:r>
        <w:rPr>
          <w:b/>
        </w:rPr>
        <w:t xml:space="preserve">i.e. indicating its type as legacy IAB-node rather than mobile IAB, </w:t>
      </w:r>
      <w:r w:rsidRPr="00CF7D47">
        <w:rPr>
          <w:b/>
        </w:rPr>
        <w:t>as decided by</w:t>
      </w:r>
      <w:r>
        <w:rPr>
          <w:b/>
        </w:rPr>
        <w:t xml:space="preserve"> the</w:t>
      </w:r>
      <w:r w:rsidRPr="00CF7D47">
        <w:rPr>
          <w:b/>
        </w:rPr>
        <w:t xml:space="preserve"> OAM/</w:t>
      </w:r>
      <w:r>
        <w:rPr>
          <w:b/>
        </w:rPr>
        <w:t>m</w:t>
      </w:r>
      <w:r w:rsidRPr="00CF7D47">
        <w:rPr>
          <w:b/>
        </w:rPr>
        <w:t xml:space="preserve">obile IAB-node itself. </w:t>
      </w:r>
    </w:p>
    <w:p w14:paraId="76141F85" w14:textId="77777777" w:rsidR="00F952D5" w:rsidRDefault="00F952D5" w:rsidP="00F952D5">
      <w:pPr>
        <w:rPr>
          <w:b/>
        </w:rPr>
      </w:pPr>
      <w:r>
        <w:rPr>
          <w:b/>
        </w:rPr>
        <w:t xml:space="preserve">Proposal 1b: </w:t>
      </w:r>
      <w:r w:rsidRPr="00CF7D47">
        <w:rPr>
          <w:b/>
        </w:rPr>
        <w:t>This mode swi</w:t>
      </w:r>
      <w:r>
        <w:rPr>
          <w:b/>
        </w:rPr>
        <w:t>tch</w:t>
      </w:r>
      <w:r w:rsidRPr="00CF7D47">
        <w:rPr>
          <w:b/>
        </w:rPr>
        <w:t xml:space="preserve"> </w:t>
      </w:r>
      <w:r>
        <w:rPr>
          <w:b/>
        </w:rPr>
        <w:t xml:space="preserve">between “mobile IAB” mode and “legacy </w:t>
      </w:r>
      <w:r w:rsidRPr="00CF7D47">
        <w:rPr>
          <w:b/>
        </w:rPr>
        <w:t>IAB</w:t>
      </w:r>
      <w:r>
        <w:rPr>
          <w:b/>
        </w:rPr>
        <w:t>” mode can be done in the IDLE/INACTIVE</w:t>
      </w:r>
      <w:r w:rsidRPr="00CF7D47">
        <w:rPr>
          <w:b/>
        </w:rPr>
        <w:t xml:space="preserve"> </w:t>
      </w:r>
      <w:r>
        <w:rPr>
          <w:b/>
        </w:rPr>
        <w:t xml:space="preserve">mode </w:t>
      </w:r>
      <w:r w:rsidRPr="00CF7D47">
        <w:rPr>
          <w:b/>
        </w:rPr>
        <w:t xml:space="preserve">by implementation, but not in </w:t>
      </w:r>
      <w:r>
        <w:rPr>
          <w:b/>
        </w:rPr>
        <w:t xml:space="preserve">the </w:t>
      </w:r>
      <w:r w:rsidRPr="00CF7D47">
        <w:rPr>
          <w:b/>
        </w:rPr>
        <w:t>connected mode.</w:t>
      </w:r>
    </w:p>
    <w:p w14:paraId="7D0A2946" w14:textId="77777777" w:rsidR="00F952D5" w:rsidRDefault="00F952D5" w:rsidP="00F952D5">
      <w:pPr>
        <w:rPr>
          <w:b/>
        </w:rPr>
      </w:pPr>
      <w:r w:rsidRPr="00CF7D47">
        <w:rPr>
          <w:b/>
        </w:rPr>
        <w:t xml:space="preserve">Proposal </w:t>
      </w:r>
      <w:r>
        <w:rPr>
          <w:b/>
        </w:rPr>
        <w:t>1c</w:t>
      </w:r>
      <w:r w:rsidRPr="00CF7D47">
        <w:rPr>
          <w:b/>
        </w:rPr>
        <w:t>: This mode swi</w:t>
      </w:r>
      <w:r>
        <w:rPr>
          <w:b/>
        </w:rPr>
        <w:t>tch</w:t>
      </w:r>
      <w:r w:rsidRPr="00CF7D47">
        <w:rPr>
          <w:b/>
        </w:rPr>
        <w:t xml:space="preserve"> </w:t>
      </w:r>
      <w:r>
        <w:rPr>
          <w:b/>
        </w:rPr>
        <w:t xml:space="preserve">between “mobile IAB” mode and “legacy </w:t>
      </w:r>
      <w:r w:rsidRPr="00CF7D47">
        <w:rPr>
          <w:b/>
        </w:rPr>
        <w:t>IAB</w:t>
      </w:r>
      <w:r>
        <w:rPr>
          <w:b/>
        </w:rPr>
        <w:t>” mode can be done before/after camping on a cell.</w:t>
      </w:r>
      <w:r w:rsidRPr="00252D30">
        <w:rPr>
          <w:b/>
        </w:rPr>
        <w:t xml:space="preserve"> </w:t>
      </w:r>
    </w:p>
    <w:p w14:paraId="09DE5B4B" w14:textId="77777777" w:rsidR="00F952D5" w:rsidRDefault="00F952D5" w:rsidP="00F952D5">
      <w:pPr>
        <w:rPr>
          <w:b/>
        </w:rPr>
      </w:pPr>
      <w:r>
        <w:rPr>
          <w:b/>
        </w:rPr>
        <w:t>Proposal 1d: FFS those proposals 1a/b/c are to be clarifies in 38.300.</w:t>
      </w:r>
    </w:p>
    <w:p w14:paraId="3260FF46" w14:textId="77777777" w:rsidR="00F952D5" w:rsidRDefault="00F952D5" w:rsidP="00F952D5">
      <w:pPr>
        <w:rPr>
          <w:b/>
        </w:rPr>
      </w:pPr>
      <w:r>
        <w:rPr>
          <w:b/>
        </w:rPr>
        <w:t xml:space="preserve">Proposal 2: After the </w:t>
      </w:r>
      <w:r w:rsidRPr="00CF7D47">
        <w:rPr>
          <w:b/>
        </w:rPr>
        <w:t>“Mobile IAB-</w:t>
      </w:r>
      <w:r>
        <w:rPr>
          <w:b/>
        </w:rPr>
        <w:t>node</w:t>
      </w:r>
      <w:r w:rsidRPr="00CF7D47">
        <w:rPr>
          <w:b/>
        </w:rPr>
        <w:t xml:space="preserve">” </w:t>
      </w:r>
      <w:r>
        <w:rPr>
          <w:b/>
        </w:rPr>
        <w:t xml:space="preserve">mode is used/decide, mobile IAB-MT </w:t>
      </w:r>
      <w:r w:rsidRPr="00CF7D47">
        <w:rPr>
          <w:b/>
        </w:rPr>
        <w:t>can only camp on the cell which broadcasts “</w:t>
      </w:r>
      <w:r w:rsidRPr="00174058">
        <w:rPr>
          <w:b/>
          <w:i/>
        </w:rPr>
        <w:t>mobileIAB-Support-r18</w:t>
      </w:r>
      <w:r w:rsidRPr="00CF7D47">
        <w:rPr>
          <w:b/>
        </w:rPr>
        <w:t xml:space="preserve">” in IDLE/INACTIVE </w:t>
      </w:r>
      <w:r>
        <w:rPr>
          <w:b/>
        </w:rPr>
        <w:t>state</w:t>
      </w:r>
      <w:r w:rsidRPr="00CF7D47">
        <w:rPr>
          <w:b/>
        </w:rPr>
        <w:t>.</w:t>
      </w:r>
      <w:r>
        <w:rPr>
          <w:b/>
        </w:rPr>
        <w:t xml:space="preserve"> </w:t>
      </w:r>
    </w:p>
    <w:p w14:paraId="11E14EB0" w14:textId="4E2DEEA7" w:rsidR="006E34E9" w:rsidRDefault="006E34E9" w:rsidP="006E34E9">
      <w:pPr>
        <w:rPr>
          <w:b/>
        </w:rPr>
      </w:pPr>
      <w:r>
        <w:rPr>
          <w:b/>
        </w:rPr>
        <w:t xml:space="preserve"> </w:t>
      </w:r>
    </w:p>
    <w:p w14:paraId="544BB80A" w14:textId="0D3C4837" w:rsidR="001A0A19" w:rsidRPr="001A0A19" w:rsidRDefault="00AD7AA3" w:rsidP="001A0A19">
      <w:pPr>
        <w:rPr>
          <w:i/>
          <w:color w:val="FF0000"/>
          <w:u w:val="single"/>
        </w:rPr>
      </w:pPr>
      <w:r>
        <w:rPr>
          <w:i/>
          <w:color w:val="FF0000"/>
          <w:u w:val="single"/>
        </w:rPr>
        <w:t>Msg5</w:t>
      </w:r>
      <w:r w:rsidR="001A0A19">
        <w:rPr>
          <w:i/>
          <w:color w:val="FF0000"/>
          <w:u w:val="single"/>
        </w:rPr>
        <w:t xml:space="preserve"> indication:</w:t>
      </w:r>
    </w:p>
    <w:p w14:paraId="7FC56F23" w14:textId="77777777" w:rsidR="00ED2DDF" w:rsidRPr="0002646E" w:rsidRDefault="00ED2DDF" w:rsidP="00ED2DDF">
      <w:pPr>
        <w:rPr>
          <w:b/>
        </w:rPr>
      </w:pPr>
      <w:r>
        <w:rPr>
          <w:b/>
        </w:rPr>
        <w:t>Proposal 3a: M</w:t>
      </w:r>
      <w:r w:rsidRPr="0002646E">
        <w:rPr>
          <w:b/>
        </w:rPr>
        <w:t>obile IAB-MT always indicate “</w:t>
      </w:r>
      <w:r w:rsidRPr="0002646E">
        <w:rPr>
          <w:b/>
          <w:i/>
        </w:rPr>
        <w:t>mobileIAB-NodeIndication-r18</w:t>
      </w:r>
      <w:r w:rsidRPr="0002646E">
        <w:rPr>
          <w:b/>
        </w:rPr>
        <w:t xml:space="preserve">” in </w:t>
      </w:r>
      <w:r>
        <w:rPr>
          <w:b/>
        </w:rPr>
        <w:t>Msg5</w:t>
      </w:r>
      <w:r w:rsidRPr="0002646E">
        <w:rPr>
          <w:b/>
        </w:rPr>
        <w:t xml:space="preserve"> (based on </w:t>
      </w:r>
      <w:r>
        <w:rPr>
          <w:b/>
        </w:rPr>
        <w:t xml:space="preserve">the latest </w:t>
      </w:r>
      <w:r w:rsidRPr="0002646E">
        <w:rPr>
          <w:b/>
        </w:rPr>
        <w:t>SA2 agreed CR).</w:t>
      </w:r>
    </w:p>
    <w:p w14:paraId="54459E21" w14:textId="77777777" w:rsidR="00ED2DDF" w:rsidRPr="0002646E" w:rsidRDefault="00ED2DDF" w:rsidP="00ED2DDF">
      <w:pPr>
        <w:rPr>
          <w:b/>
        </w:rPr>
      </w:pPr>
      <w:r>
        <w:rPr>
          <w:b/>
        </w:rPr>
        <w:t>Proposal 3b: M</w:t>
      </w:r>
      <w:r w:rsidRPr="0002646E">
        <w:rPr>
          <w:b/>
        </w:rPr>
        <w:t>obile IAB-MT does not indicate “</w:t>
      </w:r>
      <w:r w:rsidRPr="0002646E">
        <w:rPr>
          <w:b/>
          <w:i/>
        </w:rPr>
        <w:t>iab-NodeIndication</w:t>
      </w:r>
      <w:r>
        <w:rPr>
          <w:b/>
          <w:i/>
        </w:rPr>
        <w:t>-r16</w:t>
      </w:r>
      <w:r w:rsidRPr="0002646E">
        <w:rPr>
          <w:b/>
        </w:rPr>
        <w:t xml:space="preserve">” in </w:t>
      </w:r>
      <w:r>
        <w:rPr>
          <w:b/>
        </w:rPr>
        <w:t>Msg5</w:t>
      </w:r>
      <w:r w:rsidRPr="0002646E">
        <w:rPr>
          <w:b/>
        </w:rPr>
        <w:t xml:space="preserve">. (i.e., not support </w:t>
      </w:r>
      <w:r>
        <w:rPr>
          <w:b/>
        </w:rPr>
        <w:t xml:space="preserve">the </w:t>
      </w:r>
      <w:r w:rsidRPr="0002646E">
        <w:rPr>
          <w:b/>
        </w:rPr>
        <w:t xml:space="preserve">authorization directly </w:t>
      </w:r>
      <w:r>
        <w:rPr>
          <w:b/>
        </w:rPr>
        <w:t xml:space="preserve">fallback </w:t>
      </w:r>
      <w:r w:rsidRPr="0002646E">
        <w:rPr>
          <w:b/>
        </w:rPr>
        <w:t>to IAB-node</w:t>
      </w:r>
      <w:r>
        <w:rPr>
          <w:b/>
        </w:rPr>
        <w:t xml:space="preserve"> in </w:t>
      </w:r>
      <w:r w:rsidRPr="0002646E">
        <w:rPr>
          <w:b/>
        </w:rPr>
        <w:t>CN)</w:t>
      </w:r>
    </w:p>
    <w:p w14:paraId="1F5DD3C0" w14:textId="642A71AE" w:rsidR="001A0A19" w:rsidRPr="001A0A19" w:rsidRDefault="001A0A19" w:rsidP="001A0A19">
      <w:pPr>
        <w:rPr>
          <w:i/>
          <w:color w:val="FF0000"/>
          <w:u w:val="single"/>
        </w:rPr>
      </w:pPr>
      <w:r>
        <w:rPr>
          <w:i/>
          <w:color w:val="FF0000"/>
          <w:u w:val="single"/>
        </w:rPr>
        <w:t>UE capability:</w:t>
      </w:r>
    </w:p>
    <w:p w14:paraId="095EC94F" w14:textId="77777777" w:rsidR="00ED2DDF" w:rsidRDefault="00ED2DDF" w:rsidP="00ED2DDF">
      <w:pPr>
        <w:rPr>
          <w:b/>
        </w:rPr>
      </w:pPr>
      <w:r w:rsidRPr="00045C75">
        <w:rPr>
          <w:b/>
        </w:rPr>
        <w:t xml:space="preserve">Proposal </w:t>
      </w:r>
      <w:r>
        <w:rPr>
          <w:b/>
        </w:rPr>
        <w:t>4</w:t>
      </w:r>
      <w:r w:rsidRPr="00045C75">
        <w:rPr>
          <w:b/>
        </w:rPr>
        <w:t xml:space="preserve">: </w:t>
      </w:r>
      <w:r>
        <w:rPr>
          <w:b/>
        </w:rPr>
        <w:t>D</w:t>
      </w:r>
      <w:r w:rsidRPr="00045C75">
        <w:rPr>
          <w:b/>
        </w:rPr>
        <w:t>o not introduce “mobile IAB-MT capability” in the UE capability signalling.</w:t>
      </w:r>
    </w:p>
    <w:p w14:paraId="253737CD" w14:textId="6F4B37B9" w:rsidR="00485677" w:rsidRPr="00405D72" w:rsidRDefault="001A0A19" w:rsidP="00485677">
      <w:pPr>
        <w:rPr>
          <w:i/>
          <w:color w:val="FF0000"/>
          <w:u w:val="single"/>
        </w:rPr>
      </w:pPr>
      <w:r>
        <w:rPr>
          <w:i/>
          <w:color w:val="FF0000"/>
          <w:u w:val="single"/>
        </w:rPr>
        <w:t>time-based CHO</w:t>
      </w:r>
    </w:p>
    <w:p w14:paraId="64B7BE1A" w14:textId="77777777" w:rsidR="00ED2DDF" w:rsidRPr="002C1599" w:rsidRDefault="00ED2DDF" w:rsidP="00ED2DDF">
      <w:pPr>
        <w:rPr>
          <w:rFonts w:eastAsia="宋体"/>
          <w:b/>
        </w:rPr>
      </w:pPr>
      <w:r w:rsidRPr="00673C52">
        <w:rPr>
          <w:rFonts w:eastAsia="宋体"/>
          <w:b/>
        </w:rPr>
        <w:t xml:space="preserve">Proposal </w:t>
      </w:r>
      <w:r>
        <w:rPr>
          <w:rFonts w:eastAsia="宋体"/>
          <w:b/>
        </w:rPr>
        <w:t>5</w:t>
      </w:r>
      <w:r w:rsidRPr="00673C52">
        <w:rPr>
          <w:rFonts w:eastAsia="宋体"/>
          <w:b/>
        </w:rPr>
        <w:t xml:space="preserve">: </w:t>
      </w:r>
      <w:r>
        <w:rPr>
          <w:b/>
        </w:rPr>
        <w:t>D</w:t>
      </w:r>
      <w:r w:rsidRPr="00045C75">
        <w:rPr>
          <w:b/>
        </w:rPr>
        <w:t>o not i</w:t>
      </w:r>
      <w:r>
        <w:rPr>
          <w:rFonts w:eastAsia="宋体"/>
          <w:b/>
        </w:rPr>
        <w:t>ntroduce CondT1 for CHO in mobile IAB</w:t>
      </w:r>
      <w:r w:rsidRPr="007D58F9">
        <w:rPr>
          <w:rFonts w:eastAsia="宋体"/>
          <w:b/>
        </w:rPr>
        <w:t>.</w:t>
      </w:r>
    </w:p>
    <w:p w14:paraId="6160664A" w14:textId="1409AC04" w:rsidR="00503E4B" w:rsidRPr="00B139C2" w:rsidRDefault="00503E4B" w:rsidP="00503E4B">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6E644056" w14:textId="74580EE3" w:rsidR="00503E4B" w:rsidRPr="00244A06" w:rsidRDefault="00244A06" w:rsidP="00244A06">
      <w:pPr>
        <w:pStyle w:val="af8"/>
        <w:numPr>
          <w:ilvl w:val="0"/>
          <w:numId w:val="27"/>
        </w:numPr>
        <w:rPr>
          <w:rFonts w:ascii="Times New Roman" w:hAnsi="Times New Roman"/>
          <w:sz w:val="20"/>
          <w:szCs w:val="20"/>
        </w:rPr>
      </w:pPr>
      <w:bookmarkStart w:id="8" w:name="_Ref109308746"/>
      <w:bookmarkStart w:id="9" w:name="_Ref117787543"/>
      <w:r>
        <w:rPr>
          <w:rFonts w:ascii="Times New Roman" w:hAnsi="Times New Roman"/>
          <w:sz w:val="20"/>
          <w:szCs w:val="20"/>
        </w:rPr>
        <w:t xml:space="preserve">R2 </w:t>
      </w:r>
      <w:r w:rsidRPr="00244A06">
        <w:rPr>
          <w:rFonts w:ascii="Times New Roman" w:hAnsi="Times New Roman"/>
          <w:sz w:val="20"/>
          <w:szCs w:val="20"/>
        </w:rPr>
        <w:t>12</w:t>
      </w:r>
      <w:r>
        <w:rPr>
          <w:rFonts w:ascii="Times New Roman" w:hAnsi="Times New Roman"/>
          <w:sz w:val="20"/>
          <w:szCs w:val="20"/>
        </w:rPr>
        <w:t>3bis Session Notes eMob mIAB LPWUS (Johan) 2023-10-13 1030, Xiamen, China</w:t>
      </w:r>
      <w:r w:rsidR="00503E4B" w:rsidRPr="00244A06">
        <w:rPr>
          <w:rFonts w:ascii="Times New Roman" w:hAnsi="Times New Roman"/>
          <w:sz w:val="20"/>
          <w:szCs w:val="20"/>
        </w:rPr>
        <w:t>.</w:t>
      </w:r>
      <w:bookmarkEnd w:id="8"/>
      <w:r w:rsidR="00503E4B" w:rsidRPr="00244A06">
        <w:rPr>
          <w:rFonts w:ascii="Times New Roman" w:hAnsi="Times New Roman"/>
          <w:sz w:val="20"/>
          <w:szCs w:val="20"/>
        </w:rPr>
        <w:t xml:space="preserve"> </w:t>
      </w:r>
      <w:bookmarkEnd w:id="9"/>
    </w:p>
    <w:p w14:paraId="19EE1FD1" w14:textId="357B1689" w:rsidR="00503E4B" w:rsidRPr="00503E4B" w:rsidRDefault="00503E4B" w:rsidP="00503E4B">
      <w:pPr>
        <w:pStyle w:val="af8"/>
        <w:widowControl w:val="0"/>
        <w:numPr>
          <w:ilvl w:val="0"/>
          <w:numId w:val="27"/>
        </w:numPr>
        <w:autoSpaceDE w:val="0"/>
        <w:autoSpaceDN w:val="0"/>
        <w:adjustRightInd w:val="0"/>
        <w:spacing w:line="360" w:lineRule="auto"/>
        <w:rPr>
          <w:rFonts w:ascii="Times New Roman" w:hAnsi="Times New Roman"/>
          <w:sz w:val="20"/>
          <w:szCs w:val="20"/>
        </w:rPr>
      </w:pPr>
      <w:bookmarkStart w:id="10" w:name="_Ref149308309"/>
      <w:r w:rsidRPr="00503E4B">
        <w:rPr>
          <w:rFonts w:ascii="Times New Roman" w:hAnsi="Times New Roman"/>
          <w:sz w:val="20"/>
          <w:szCs w:val="20"/>
        </w:rPr>
        <w:t>S2-2311469, Corrections on AMF selection for MBSR, SA2#159</w:t>
      </w:r>
      <w:r w:rsidR="00D830AF">
        <w:rPr>
          <w:rFonts w:ascii="Times New Roman" w:hAnsi="Times New Roman"/>
          <w:sz w:val="20"/>
          <w:szCs w:val="20"/>
        </w:rPr>
        <w:t>, Xiamen, China</w:t>
      </w:r>
      <w:r w:rsidRPr="00503E4B">
        <w:rPr>
          <w:rFonts w:ascii="Times New Roman" w:hAnsi="Times New Roman"/>
          <w:sz w:val="20"/>
          <w:szCs w:val="20"/>
        </w:rPr>
        <w:t>.</w:t>
      </w:r>
      <w:bookmarkEnd w:id="10"/>
    </w:p>
    <w:p w14:paraId="73D8DB42" w14:textId="77777777" w:rsidR="00503E4B" w:rsidRPr="00503E4B" w:rsidRDefault="00503E4B" w:rsidP="001A0A19">
      <w:pPr>
        <w:rPr>
          <w:b/>
          <w:lang w:val="x-none"/>
        </w:rPr>
      </w:pPr>
    </w:p>
    <w:sectPr w:rsidR="00503E4B" w:rsidRPr="00503E4B"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5DC06" w14:textId="77777777" w:rsidR="003814F4" w:rsidRDefault="003814F4" w:rsidP="00796430">
      <w:r>
        <w:separator/>
      </w:r>
    </w:p>
  </w:endnote>
  <w:endnote w:type="continuationSeparator" w:id="0">
    <w:p w14:paraId="11597E6F" w14:textId="77777777" w:rsidR="003814F4" w:rsidRDefault="003814F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98891" w14:textId="77777777" w:rsidR="003814F4" w:rsidRDefault="003814F4" w:rsidP="00796430">
      <w:r>
        <w:separator/>
      </w:r>
    </w:p>
  </w:footnote>
  <w:footnote w:type="continuationSeparator" w:id="0">
    <w:p w14:paraId="798CC31C" w14:textId="77777777" w:rsidR="003814F4" w:rsidRDefault="003814F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17C58B2"/>
    <w:multiLevelType w:val="hybridMultilevel"/>
    <w:tmpl w:val="C72C8B44"/>
    <w:lvl w:ilvl="0" w:tplc="1E0282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415"/>
        </w:tabs>
        <w:ind w:left="2415" w:hanging="360"/>
      </w:pPr>
      <w:rPr>
        <w:rFonts w:ascii="Symbol" w:hAnsi="Symbol" w:hint="default"/>
        <w:b/>
        <w:i w:val="0"/>
        <w:color w:val="auto"/>
        <w:sz w:val="22"/>
      </w:rPr>
    </w:lvl>
    <w:lvl w:ilvl="1" w:tplc="04090003">
      <w:start w:val="1"/>
      <w:numFmt w:val="bullet"/>
      <w:lvlText w:val="o"/>
      <w:lvlJc w:val="left"/>
      <w:pPr>
        <w:tabs>
          <w:tab w:val="num" w:pos="-4065"/>
        </w:tabs>
        <w:ind w:left="-4065" w:hanging="360"/>
      </w:pPr>
      <w:rPr>
        <w:rFonts w:ascii="Courier New" w:hAnsi="Courier New" w:cs="Courier New" w:hint="default"/>
      </w:rPr>
    </w:lvl>
    <w:lvl w:ilvl="2" w:tplc="04090005">
      <w:start w:val="1"/>
      <w:numFmt w:val="bullet"/>
      <w:lvlText w:val=""/>
      <w:lvlJc w:val="left"/>
      <w:pPr>
        <w:tabs>
          <w:tab w:val="num" w:pos="-3345"/>
        </w:tabs>
        <w:ind w:left="-3345" w:hanging="360"/>
      </w:pPr>
      <w:rPr>
        <w:rFonts w:ascii="Wingdings" w:hAnsi="Wingdings" w:hint="default"/>
      </w:rPr>
    </w:lvl>
    <w:lvl w:ilvl="3" w:tplc="04090001">
      <w:start w:val="1"/>
      <w:numFmt w:val="bullet"/>
      <w:lvlText w:val=""/>
      <w:lvlJc w:val="left"/>
      <w:pPr>
        <w:tabs>
          <w:tab w:val="num" w:pos="-2625"/>
        </w:tabs>
        <w:ind w:left="-2625" w:hanging="360"/>
      </w:pPr>
      <w:rPr>
        <w:rFonts w:ascii="Symbol" w:hAnsi="Symbol" w:hint="default"/>
      </w:rPr>
    </w:lvl>
    <w:lvl w:ilvl="4" w:tplc="04090003">
      <w:start w:val="1"/>
      <w:numFmt w:val="decimal"/>
      <w:lvlText w:val="%5."/>
      <w:lvlJc w:val="left"/>
      <w:pPr>
        <w:tabs>
          <w:tab w:val="num" w:pos="3225"/>
        </w:tabs>
        <w:ind w:left="3225" w:hanging="360"/>
      </w:pPr>
    </w:lvl>
    <w:lvl w:ilvl="5" w:tplc="04090005">
      <w:start w:val="1"/>
      <w:numFmt w:val="decimal"/>
      <w:lvlText w:val="%6."/>
      <w:lvlJc w:val="left"/>
      <w:pPr>
        <w:tabs>
          <w:tab w:val="num" w:pos="3945"/>
        </w:tabs>
        <w:ind w:left="3945" w:hanging="360"/>
      </w:pPr>
    </w:lvl>
    <w:lvl w:ilvl="6" w:tplc="04090001">
      <w:start w:val="1"/>
      <w:numFmt w:val="decimal"/>
      <w:lvlText w:val="%7."/>
      <w:lvlJc w:val="left"/>
      <w:pPr>
        <w:tabs>
          <w:tab w:val="num" w:pos="4665"/>
        </w:tabs>
        <w:ind w:left="4665" w:hanging="360"/>
      </w:pPr>
    </w:lvl>
    <w:lvl w:ilvl="7" w:tplc="04090003">
      <w:start w:val="1"/>
      <w:numFmt w:val="decimal"/>
      <w:lvlText w:val="%8."/>
      <w:lvlJc w:val="left"/>
      <w:pPr>
        <w:tabs>
          <w:tab w:val="num" w:pos="5385"/>
        </w:tabs>
        <w:ind w:left="5385" w:hanging="360"/>
      </w:pPr>
    </w:lvl>
    <w:lvl w:ilvl="8" w:tplc="04090005">
      <w:start w:val="1"/>
      <w:numFmt w:val="decimal"/>
      <w:lvlText w:val="%9."/>
      <w:lvlJc w:val="left"/>
      <w:pPr>
        <w:tabs>
          <w:tab w:val="num" w:pos="6105"/>
        </w:tabs>
        <w:ind w:left="6105" w:hanging="360"/>
      </w:pPr>
    </w:lvl>
  </w:abstractNum>
  <w:abstractNum w:abstractNumId="25"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2"/>
  </w:num>
  <w:num w:numId="4">
    <w:abstractNumId w:val="7"/>
  </w:num>
  <w:num w:numId="5">
    <w:abstractNumId w:val="19"/>
  </w:num>
  <w:num w:numId="6">
    <w:abstractNumId w:val="8"/>
  </w:num>
  <w:num w:numId="7">
    <w:abstractNumId w:val="4"/>
  </w:num>
  <w:num w:numId="8">
    <w:abstractNumId w:val="15"/>
  </w:num>
  <w:num w:numId="9">
    <w:abstractNumId w:val="18"/>
    <w:lvlOverride w:ilvl="0">
      <w:startOverride w:val="1"/>
    </w:lvlOverride>
  </w:num>
  <w:num w:numId="10">
    <w:abstractNumId w:val="2"/>
  </w:num>
  <w:num w:numId="11">
    <w:abstractNumId w:val="13"/>
  </w:num>
  <w:num w:numId="12">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
  </w:num>
  <w:num w:numId="15">
    <w:abstractNumId w:val="11"/>
  </w:num>
  <w:num w:numId="16">
    <w:abstractNumId w:val="21"/>
  </w:num>
  <w:num w:numId="17">
    <w:abstractNumId w:val="6"/>
  </w:num>
  <w:num w:numId="18">
    <w:abstractNumId w:val="1"/>
  </w:num>
  <w:num w:numId="19">
    <w:abstractNumId w:val="24"/>
  </w:num>
  <w:num w:numId="20">
    <w:abstractNumId w:val="23"/>
  </w:num>
  <w:num w:numId="21">
    <w:abstractNumId w:val="22"/>
  </w:num>
  <w:num w:numId="22">
    <w:abstractNumId w:val="20"/>
  </w:num>
  <w:num w:numId="23">
    <w:abstractNumId w:val="9"/>
  </w:num>
  <w:num w:numId="24">
    <w:abstractNumId w:val="3"/>
  </w:num>
  <w:num w:numId="25">
    <w:abstractNumId w:val="25"/>
  </w:num>
  <w:num w:numId="26">
    <w:abstractNumId w:val="16"/>
  </w:num>
  <w:num w:numId="2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46E"/>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21"/>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5C75"/>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AF2"/>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4C"/>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890"/>
    <w:rsid w:val="000F3B05"/>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B1E"/>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E1D"/>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058"/>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A19"/>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A06"/>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D30"/>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99"/>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C7B9D"/>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4A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1"/>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5EC"/>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897"/>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4F4"/>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9FF"/>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475"/>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615"/>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1E0"/>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28E"/>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03D"/>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00B"/>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3E4B"/>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6E45"/>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B56"/>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B54"/>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4E9"/>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B9C"/>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05"/>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3F0C"/>
    <w:rsid w:val="007840DC"/>
    <w:rsid w:val="0078443B"/>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4FA9"/>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5E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02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5C"/>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62B"/>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6DDA"/>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C2D"/>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E39"/>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25A"/>
    <w:rsid w:val="00A923F1"/>
    <w:rsid w:val="00A92476"/>
    <w:rsid w:val="00A924C1"/>
    <w:rsid w:val="00A925E4"/>
    <w:rsid w:val="00A92C1F"/>
    <w:rsid w:val="00A92F63"/>
    <w:rsid w:val="00A9339B"/>
    <w:rsid w:val="00A93446"/>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06"/>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D7AA3"/>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249"/>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075"/>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73"/>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44"/>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BC9"/>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01F"/>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E7FB0"/>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14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4E52"/>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CF7D47"/>
    <w:rsid w:val="00D0052E"/>
    <w:rsid w:val="00D006CE"/>
    <w:rsid w:val="00D00984"/>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C09"/>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B79"/>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8F"/>
    <w:rsid w:val="00D826AB"/>
    <w:rsid w:val="00D828DD"/>
    <w:rsid w:val="00D82E28"/>
    <w:rsid w:val="00D82EAE"/>
    <w:rsid w:val="00D82F81"/>
    <w:rsid w:val="00D8305B"/>
    <w:rsid w:val="00D830AF"/>
    <w:rsid w:val="00D8335C"/>
    <w:rsid w:val="00D833BD"/>
    <w:rsid w:val="00D834A6"/>
    <w:rsid w:val="00D8355A"/>
    <w:rsid w:val="00D835F2"/>
    <w:rsid w:val="00D83606"/>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BCE"/>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62"/>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7DD"/>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93"/>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949"/>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2DDF"/>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57F"/>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A56"/>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05E"/>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2D5"/>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0B8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2DD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3"/>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列表段落"/>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har2">
    <w:name w:val="批注文字 Char"/>
    <w:link w:val="af2"/>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textAlignment w:val="auto"/>
    </w:pPr>
    <w:rPr>
      <w:lang w:eastAsia="en-US"/>
    </w:rPr>
  </w:style>
  <w:style w:type="paragraph" w:customStyle="1" w:styleId="afc">
    <w:name w:val="表格题注"/>
    <w:basedOn w:val="a0"/>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level 2 Char,2nd level Char,†berschrift 2 Char"/>
    <w:basedOn w:val="a1"/>
    <w:link w:val="2"/>
    <w:rsid w:val="001319AB"/>
    <w:rPr>
      <w:rFonts w:ascii="Arial" w:hAnsi="Arial"/>
      <w:sz w:val="32"/>
      <w:szCs w:val="32"/>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2365966">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19391-EDD1-4362-BD90-A4FF7011A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1364</TotalTime>
  <Pages>4</Pages>
  <Words>1860</Words>
  <Characters>10602</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ModifiedBy>Huawei-Yulong</cp:lastModifiedBy>
  <cp:revision>69</cp:revision>
  <cp:lastPrinted>2016-09-19T04:11:00Z</cp:lastPrinted>
  <dcterms:created xsi:type="dcterms:W3CDTF">2023-10-24T09:53:00Z</dcterms:created>
  <dcterms:modified xsi:type="dcterms:W3CDTF">2023-11-02T14:41:00Z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(3)eArt0bC66+ojlqPpZWRRqXqQBc7UkIFV1zJ9/vFrs3DDTNqm+ArOYMXhAc+GBCSkZrZUV96I
WOrskj7SdgQ+rMQqm7pAfswNpA7Uzug3C9hOPjQPvQVhwJ0qwIRe1OTahcqQmNcUcq/lJGjI
2lUUXVbJfEu4GgObWN4u36obmTb2/vCV5rekeKd5ptHLW0IVbuuJY9eQfep6iSDNthqQ/pRw
XdV31pjf2e8cijsVA8</vt:lpwstr>
  </property>
  <property fmtid="{D5CDD505-2E9C-101B-9397-08002B2CF9AE}" pid="25" name="_2015_ms_pID_725343_00">
    <vt:lpwstr>_2015_ms_pID_725343</vt:lpwstr>
  </property>
  <property fmtid="{D5CDD505-2E9C-101B-9397-08002B2CF9AE}" pid="26" name="_2015_ms_pID_7253431">
    <vt:lpwstr>Xr/k3MTlornXk6oJN4YHkQsvplE7xu+mtkFEyY/4/fAhovpPcQyJwy
jeog+aUMy1Y18Ge+WGzUjFOgo+WhvJPq1ZarR8e2DSLZMXfJ26KmrJKqZ3aLjDmj5D7hcIRK
Sdf3Y9QDWCb+4olpdaA3xHcejI7s5hG/EyVDz7taSrfrYu2/YLE1/OJCMqRNpyajVKPNKduK
WdIq1vwmAOaEV5gVy+ppjgbe7GL2YCp1OyKL</vt:lpwstr>
  </property>
  <property fmtid="{D5CDD505-2E9C-101B-9397-08002B2CF9AE}" pid="27" name="_2015_ms_pID_7253431_00">
    <vt:lpwstr>_2015_ms_pID_7253431</vt:lpwstr>
  </property>
  <property fmtid="{D5CDD505-2E9C-101B-9397-08002B2CF9AE}" pid="28" name="_2015_ms_pID_7253432">
    <vt:lpwstr>Rg==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1698820941</vt:lpwstr>
  </property>
</Properties>
</file>